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Calibri" w:cs="Calibri" w:eastAsia="Calibri" w:hAnsi="Calibri"/>
          <w:i/>
          <w:iCs/>
          <w:color w:val="5F6B7A"/>
          <w:sz w:val="20"/>
          <w:szCs w:val="20"/>
        </w:rPr>
        <w:t xml:space="preserve">Guide de la plateforme intégrée · v2.0.1 · S. Gagné</w:t>
      </w:r>
    </w:p>
    <w:p>
      <w:pPr>
        <w:spacing w:after="240"/>
      </w:pPr>
      <w:r>
        <w:rPr>
          <w:rFonts w:ascii="Calibri" w:cs="Calibri" w:eastAsia="Calibri" w:hAnsi="Calibri"/>
          <w:b/>
          <w:bCs/>
          <w:color w:val="8A5A00"/>
          <w:sz w:val="20"/>
          <w:szCs w:val="20"/>
        </w:rPr>
        <w:t xml:space="preserve">PILOTAGE · LIVRAISON LOGICIELLE</w:t>
      </w:r>
    </w:p>
    <w:p>
      <w:pPr>
        <w:spacing w:after="120"/>
      </w:pPr>
      <w:r>
        <w:rPr>
          <w:rFonts w:ascii="Calibri" w:cs="Calibri" w:eastAsia="Calibri" w:hAnsi="Calibri"/>
          <w:b/>
          <w:bCs/>
          <w:color w:val="1F2933"/>
          <w:sz w:val="44"/>
          <w:szCs w:val="44"/>
        </w:rPr>
        <w:t xml:space="preserve">La plateforme intégrée ROBO-SCÈNE</w:t>
      </w:r>
    </w:p>
    <w:p>
      <w:pPr>
        <w:spacing w:after="300"/>
      </w:pPr>
      <w:r>
        <w:rPr>
          <w:rFonts w:ascii="Calibri" w:cs="Calibri" w:eastAsia="Calibri" w:hAnsi="Calibri"/>
          <w:i/>
          <w:iCs/>
          <w:color w:val="5F6B7A"/>
          <w:sz w:val="26"/>
          <w:szCs w:val="26"/>
        </w:rPr>
        <w:t xml:space="preserve">Réalisation des fonctions du cahier v1.0, intégration du « Partenaire de théâtre » et des briques livrées, connexion de tout robot par un langage et des interfaces unifiés</w:t>
      </w:r>
    </w:p>
    <w:p>
      <w:pPr>
        <w:spacing w:after="140" w:line="300"/>
        <w:jc w:val="both"/>
      </w:pPr>
      <w:r>
        <w:rPr>
          <w:rFonts w:ascii="Calibri" w:cs="Calibri" w:eastAsia="Calibri" w:hAnsi="Calibri"/>
          <w:b/>
          <w:bCs/>
          <w:color w:val="1F2933"/>
          <w:sz w:val="22"/>
          <w:szCs w:val="22"/>
        </w:rPr>
        <w:t xml:space="preserve">Projet : </w:t>
      </w:r>
      <w:r>
        <w:rPr>
          <w:rFonts w:ascii="Calibri" w:cs="Calibri" w:eastAsia="Calibri" w:hAnsi="Calibri"/>
          <w:color w:val="1F2933"/>
          <w:sz w:val="22"/>
          <w:szCs w:val="22"/>
        </w:rPr>
        <w:t xml:space="preserve">« L'IA au service de la création théâtrale » — recherche indépendante et autofinancée</w:t>
      </w:r>
    </w:p>
    <w:p>
      <w:pPr>
        <w:spacing w:after="140" w:line="300"/>
        <w:jc w:val="both"/>
      </w:pPr>
      <w:r>
        <w:rPr>
          <w:rFonts w:ascii="Calibri" w:cs="Calibri" w:eastAsia="Calibri" w:hAnsi="Calibri"/>
          <w:b/>
          <w:bCs/>
          <w:color w:val="1F2933"/>
          <w:sz w:val="22"/>
          <w:szCs w:val="22"/>
        </w:rPr>
        <w:t xml:space="preserve">Auteur : </w:t>
      </w:r>
      <w:r>
        <w:rPr>
          <w:rFonts w:ascii="Calibri" w:cs="Calibri" w:eastAsia="Calibri" w:hAnsi="Calibri"/>
          <w:color w:val="1F2933"/>
          <w:sz w:val="22"/>
          <w:szCs w:val="22"/>
        </w:rPr>
        <w:t xml:space="preserve">Sylvain Gagné, Ph. D., chercheur indépendant non affilié et autofinancé (IA, robotique et théâtre)</w:t>
      </w:r>
    </w:p>
    <w:p>
      <w:pPr>
        <w:spacing w:after="140" w:line="300"/>
        <w:jc w:val="both"/>
      </w:pPr>
      <w:r>
        <w:rPr>
          <w:rFonts w:ascii="Calibri" w:cs="Calibri" w:eastAsia="Calibri" w:hAnsi="Calibri"/>
          <w:b/>
          <w:bCs/>
          <w:color w:val="1F2933"/>
          <w:sz w:val="22"/>
          <w:szCs w:val="22"/>
        </w:rPr>
        <w:t xml:space="preserve">Version et date : </w:t>
      </w:r>
      <w:r>
        <w:rPr>
          <w:rFonts w:ascii="Calibri" w:cs="Calibri" w:eastAsia="Calibri" w:hAnsi="Calibri"/>
          <w:color w:val="1F2933"/>
          <w:sz w:val="22"/>
          <w:szCs w:val="22"/>
        </w:rPr>
        <w:t xml:space="preserve">2.0.1 — 16 octobre 2026 (révision corrective de la version 2.0 du 11 octobre 2026 : affiliation, modèle local SI-02, robot virtuel, compteurs, dépôt public ; mise en œuvre de l'audit indépendant du 16 octobre 2026)</w:t>
      </w:r>
    </w:p>
    <w:p>
      <w:pPr>
        <w:spacing w:after="140" w:line="300"/>
        <w:jc w:val="both"/>
      </w:pPr>
      <w:r>
        <w:rPr>
          <w:rFonts w:ascii="Calibri" w:cs="Calibri" w:eastAsia="Calibri" w:hAnsi="Calibri"/>
          <w:b/>
          <w:bCs/>
          <w:color w:val="1F2933"/>
          <w:sz w:val="22"/>
          <w:szCs w:val="22"/>
        </w:rPr>
        <w:t xml:space="preserve">Dépôt : </w:t>
      </w:r>
      <w:r>
        <w:rPr>
          <w:rFonts w:ascii="Calibri" w:cs="Calibri" w:eastAsia="Calibri" w:hAnsi="Calibri"/>
          <w:color w:val="1F2933"/>
          <w:sz w:val="22"/>
          <w:szCs w:val="22"/>
        </w:rPr>
        <w:t xml:space="preserve">Robo-Scène (GitHub, dépôt public depuis le 16 octobre 2026 ; documents de travail et index extraits retirés de tout l'historique) ; déploiement Netlify soumis à votre autorisation</w:t>
      </w:r>
    </w:p>
    <w:p>
      <w:pPr>
        <w:spacing w:after="140" w:line="300"/>
        <w:jc w:val="both"/>
      </w:pPr>
      <w:r>
        <w:rPr>
          <w:rFonts w:ascii="Calibri" w:cs="Calibri" w:eastAsia="Calibri" w:hAnsi="Calibri"/>
          <w:b/>
          <w:bCs/>
          <w:color w:val="1F2933"/>
          <w:sz w:val="22"/>
          <w:szCs w:val="22"/>
        </w:rPr>
        <w:t xml:space="preserve">Documents de référence : </w:t>
      </w:r>
      <w:r>
        <w:rPr>
          <w:rFonts w:ascii="Calibri" w:cs="Calibri" w:eastAsia="Calibri" w:hAnsi="Calibri"/>
          <w:color w:val="1F2933"/>
          <w:sz w:val="22"/>
          <w:szCs w:val="22"/>
        </w:rPr>
        <w:t xml:space="preserve">Cahier des fonctions v1.0 ; R.4 ; plan d'analyse A.2 v1.0 ; livre de codes A.1 v1.0 ; G.5 ; G.6 ; décisions D02, D03, D08, D09, D13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4A6FA5" w:sz="12"/>
              <w:left w:val="single" w:color="4A6FA5" w:sz="12"/>
              <w:bottom w:val="single" w:color="4A6FA5" w:sz="12"/>
              <w:right w:val="single" w:color="4A6FA5" w:sz="12"/>
            </w:tcBorders>
            <w:shd w:fill="EEF3FA" w:color="auto" w:val="clear"/>
            <w:tcMar>
              <w:top w:type="dxa" w:w="140"/>
              <w:left w:type="dxa" w:w="200"/>
              <w:bottom w:type="dxa" w:w="140"/>
              <w:right w:type="dxa" w:w="200"/>
            </w:tcMar>
          </w:tcPr>
          <w:p>
            <w:pPr>
              <w:spacing w:after="100"/>
            </w:pPr>
            <w:r>
              <w:rPr>
                <w:rFonts w:ascii="Calibri" w:cs="Calibri" w:eastAsia="Calibri" w:hAnsi="Calibri"/>
                <w:b/>
                <w:bCs/>
                <w:color w:val="8A5A00"/>
                <w:sz w:val="24"/>
                <w:szCs w:val="24"/>
              </w:rPr>
              <w:t xml:space="preserve">Convention de lecture</w:t>
            </w:r>
          </w:p>
          <w:p>
            <w:pPr>
              <w:spacing w:after="80" w:line="280"/>
            </w:pPr>
            <w:r>
              <w:rPr>
                <w:rFonts w:ascii="Calibri" w:cs="Calibri" w:eastAsia="Calibri" w:hAnsi="Calibri"/>
                <w:color w:val="1F2933"/>
                <w:sz w:val="21"/>
                <w:szCs w:val="21"/>
              </w:rPr>
              <w:t xml:space="preserve">Les faits tirés de sources externes sont cités dans le texte selon la norme MLA (9e éd.) et repris dans les ouvrages cités ; les faits tirés des documents du projet renvoient au repère concerné (R.4, A.2, G.5…).</w:t>
            </w:r>
          </w:p>
          <w:p>
            <w:pPr>
              <w:spacing w:after="80" w:line="280"/>
            </w:pPr>
            <w:r>
              <w:rPr>
                <w:rFonts w:ascii="Calibri" w:cs="Calibri" w:eastAsia="Calibri" w:hAnsi="Calibri"/>
                <w:color w:val="1F2933"/>
                <w:sz w:val="21"/>
                <w:szCs w:val="21"/>
              </w:rPr>
              <w:t xml:space="preserve">Toute proposition qui ne découle pas directement d'une source ou d'un test exécuté est précédée de la mention (Inférence).</w:t>
            </w:r>
          </w:p>
          <w:p>
            <w:pPr>
              <w:spacing w:after="80" w:line="280"/>
            </w:pPr>
            <w:r>
              <w:rPr>
                <w:rFonts w:ascii="Calibri" w:cs="Calibri" w:eastAsia="Calibri" w:hAnsi="Calibri"/>
                <w:color w:val="1F2933"/>
                <w:sz w:val="21"/>
                <w:szCs w:val="21"/>
              </w:rPr>
              <w:t xml:space="preserve">Les états de fonction proviennent de la table bridge/pilotage/fonctions.py, que les tests automatisés vérifient ; ils ne reposent donc pas sur une simple déclaration.</w:t>
            </w:r>
          </w:p>
        </w:tc>
      </w:tr>
    </w:tbl>
    <w:p>
      <w:r>
        <w:br w:type="page"/>
      </w:r>
    </w:p>
    <w:p>
      <w:pPr>
        <w:spacing w:after="120"/>
      </w:pPr>
      <w:r>
        <w:rPr>
          <w:rFonts w:ascii="Calibri" w:cs="Calibri" w:eastAsia="Calibri" w:hAnsi="Calibri"/>
          <w:b/>
          <w:bCs/>
          <w:color w:val="1F2933"/>
          <w:sz w:val="28"/>
          <w:szCs w:val="28"/>
        </w:rPr>
        <w:t xml:space="preserve">Sommaire</w:t>
      </w:r>
    </w:p>
    <w:sdt>
      <w:sdtPr>
        <w:alias w:val="Sommaire"/>
      </w:sdtPr>
      <w:sdtContent>
        <w:p>
          <w:pPr>
            <w:spacing w:after="0"/>
          </w:pPr>
          <w:r>
            <w:fldChar w:fldCharType="begin"/>
            <w:instrText xml:space="preserve">TOC \o "1-1" \h</w:instrText>
            <w:fldChar w:fldCharType="separate"/>
          </w:r>
        </w:p>
        <w:p>
          <w:pPr>
            <w:tabs>
              <w:tab w:val="right" w:leader="dot" w:pos="9350"/>
            </w:tabs>
            <w:spacing w:after="90"/>
          </w:pPr>
          <w:r>
            <w:rPr>
              <w:rFonts w:ascii="Calibri" w:cs="Calibri" w:eastAsia="Calibri" w:hAnsi="Calibri"/>
              <w:color w:val="1F2933"/>
              <w:sz w:val="22"/>
              <w:szCs w:val="22"/>
            </w:rPr>
            <w:t xml:space="preserve">1. Ce qui a été livré</w:t>
          </w:r>
          <w:r>
            <w:rPr>
              <w:rFonts w:ascii="Calibri" w:cs="Calibri" w:eastAsia="Calibri" w:hAnsi="Calibri"/>
              <w:color w:val="1F2933"/>
              <w:sz w:val="22"/>
              <w:szCs w:val="22"/>
            </w:rPr>
            <w:tab/>
          </w:r>
          <w:r>
            <w:rPr>
              <w:rFonts w:ascii="Calibri" w:cs="Calibri" w:eastAsia="Calibri" w:hAnsi="Calibri"/>
              <w:color w:val="1F2933"/>
              <w:sz w:val="22"/>
              <w:szCs w:val="22"/>
            </w:rPr>
            <w:t xml:space="preserve">3</w:t>
          </w:r>
        </w:p>
        <w:p>
          <w:pPr>
            <w:tabs>
              <w:tab w:val="right" w:leader="dot" w:pos="9350"/>
            </w:tabs>
            <w:spacing w:after="90"/>
          </w:pPr>
          <w:r>
            <w:rPr>
              <w:rFonts w:ascii="Calibri" w:cs="Calibri" w:eastAsia="Calibri" w:hAnsi="Calibri"/>
              <w:color w:val="1F2933"/>
              <w:sz w:val="22"/>
              <w:szCs w:val="22"/>
            </w:rPr>
            <w:t xml:space="preserve">2. Parcours de la plateforme</w:t>
          </w:r>
          <w:r>
            <w:rPr>
              <w:rFonts w:ascii="Calibri" w:cs="Calibri" w:eastAsia="Calibri" w:hAnsi="Calibri"/>
              <w:color w:val="1F2933"/>
              <w:sz w:val="22"/>
              <w:szCs w:val="22"/>
            </w:rPr>
            <w:tab/>
          </w:r>
          <w:r>
            <w:rPr>
              <w:rFonts w:ascii="Calibri" w:cs="Calibri" w:eastAsia="Calibri" w:hAnsi="Calibri"/>
              <w:color w:val="1F2933"/>
              <w:sz w:val="22"/>
              <w:szCs w:val="22"/>
            </w:rPr>
            <w:t xml:space="preserve">3</w:t>
          </w:r>
        </w:p>
        <w:p>
          <w:pPr>
            <w:tabs>
              <w:tab w:val="right" w:leader="dot" w:pos="9350"/>
            </w:tabs>
            <w:spacing w:after="90"/>
          </w:pPr>
          <w:r>
            <w:rPr>
              <w:rFonts w:ascii="Calibri" w:cs="Calibri" w:eastAsia="Calibri" w:hAnsi="Calibri"/>
              <w:color w:val="1F2933"/>
              <w:sz w:val="22"/>
              <w:szCs w:val="22"/>
            </w:rPr>
            <w:t xml:space="preserve">3. Connecter n'importe quel robot</w:t>
          </w:r>
          <w:r>
            <w:rPr>
              <w:rFonts w:ascii="Calibri" w:cs="Calibri" w:eastAsia="Calibri" w:hAnsi="Calibri"/>
              <w:color w:val="1F2933"/>
              <w:sz w:val="22"/>
              <w:szCs w:val="22"/>
            </w:rPr>
            <w:tab/>
          </w:r>
          <w:r>
            <w:rPr>
              <w:rFonts w:ascii="Calibri" w:cs="Calibri" w:eastAsia="Calibri" w:hAnsi="Calibri"/>
              <w:color w:val="1F2933"/>
              <w:sz w:val="22"/>
              <w:szCs w:val="22"/>
            </w:rPr>
            <w:t xml:space="preserve">4</w:t>
          </w:r>
        </w:p>
        <w:p>
          <w:pPr>
            <w:tabs>
              <w:tab w:val="right" w:leader="dot" w:pos="9350"/>
            </w:tabs>
            <w:spacing w:after="90"/>
          </w:pPr>
          <w:r>
            <w:rPr>
              <w:rFonts w:ascii="Calibri" w:cs="Calibri" w:eastAsia="Calibri" w:hAnsi="Calibri"/>
              <w:color w:val="1F2933"/>
              <w:sz w:val="22"/>
              <w:szCs w:val="22"/>
            </w:rPr>
            <w:t xml:space="preserve">4. Modèles d'IA et décision D13</w:t>
          </w:r>
          <w:r>
            <w:rPr>
              <w:rFonts w:ascii="Calibri" w:cs="Calibri" w:eastAsia="Calibri" w:hAnsi="Calibri"/>
              <w:color w:val="1F2933"/>
              <w:sz w:val="22"/>
              <w:szCs w:val="22"/>
            </w:rPr>
            <w:tab/>
          </w:r>
          <w:r>
            <w:rPr>
              <w:rFonts w:ascii="Calibri" w:cs="Calibri" w:eastAsia="Calibri" w:hAnsi="Calibri"/>
              <w:color w:val="1F2933"/>
              <w:sz w:val="22"/>
              <w:szCs w:val="22"/>
            </w:rPr>
            <w:t xml:space="preserve">4</w:t>
          </w:r>
        </w:p>
        <w:p>
          <w:pPr>
            <w:tabs>
              <w:tab w:val="right" w:leader="dot" w:pos="9350"/>
            </w:tabs>
            <w:spacing w:after="90"/>
          </w:pPr>
          <w:r>
            <w:rPr>
              <w:rFonts w:ascii="Calibri" w:cs="Calibri" w:eastAsia="Calibri" w:hAnsi="Calibri"/>
              <w:color w:val="1F2933"/>
              <w:sz w:val="22"/>
              <w:szCs w:val="22"/>
            </w:rPr>
            <w:t xml:space="preserve">5. Analyse : ce que le code applique du plan A.2</w:t>
          </w:r>
          <w:r>
            <w:rPr>
              <w:rFonts w:ascii="Calibri" w:cs="Calibri" w:eastAsia="Calibri" w:hAnsi="Calibri"/>
              <w:color w:val="1F2933"/>
              <w:sz w:val="22"/>
              <w:szCs w:val="22"/>
            </w:rPr>
            <w:tab/>
          </w:r>
          <w:r>
            <w:rPr>
              <w:rFonts w:ascii="Calibri" w:cs="Calibri" w:eastAsia="Calibri" w:hAnsi="Calibri"/>
              <w:color w:val="1F2933"/>
              <w:sz w:val="22"/>
              <w:szCs w:val="22"/>
            </w:rPr>
            <w:t xml:space="preserve">5</w:t>
          </w:r>
        </w:p>
        <w:p>
          <w:pPr>
            <w:tabs>
              <w:tab w:val="right" w:leader="dot" w:pos="9350"/>
            </w:tabs>
            <w:spacing w:after="90"/>
          </w:pPr>
          <w:r>
            <w:rPr>
              <w:rFonts w:ascii="Calibri" w:cs="Calibri" w:eastAsia="Calibri" w:hAnsi="Calibri"/>
              <w:color w:val="1F2933"/>
              <w:sz w:val="22"/>
              <w:szCs w:val="22"/>
            </w:rPr>
            <w:t xml:space="preserve">6. Gouvernance appliquée par le code</w:t>
          </w:r>
          <w:r>
            <w:rPr>
              <w:rFonts w:ascii="Calibri" w:cs="Calibri" w:eastAsia="Calibri" w:hAnsi="Calibri"/>
              <w:color w:val="1F2933"/>
              <w:sz w:val="22"/>
              <w:szCs w:val="22"/>
            </w:rPr>
            <w:tab/>
          </w:r>
          <w:r>
            <w:rPr>
              <w:rFonts w:ascii="Calibri" w:cs="Calibri" w:eastAsia="Calibri" w:hAnsi="Calibri"/>
              <w:color w:val="1F2933"/>
              <w:sz w:val="22"/>
              <w:szCs w:val="22"/>
            </w:rPr>
            <w:t xml:space="preserve">6</w:t>
          </w:r>
        </w:p>
        <w:p>
          <w:pPr>
            <w:tabs>
              <w:tab w:val="right" w:leader="dot" w:pos="9350"/>
            </w:tabs>
            <w:spacing w:after="90"/>
          </w:pPr>
          <w:r>
            <w:rPr>
              <w:rFonts w:ascii="Calibri" w:cs="Calibri" w:eastAsia="Calibri" w:hAnsi="Calibri"/>
              <w:color w:val="1F2933"/>
              <w:sz w:val="22"/>
              <w:szCs w:val="22"/>
            </w:rPr>
            <w:t xml:space="preserve">7. Extensions du § 4 : ce qui a été réalisé</w:t>
          </w:r>
          <w:r>
            <w:rPr>
              <w:rFonts w:ascii="Calibri" w:cs="Calibri" w:eastAsia="Calibri" w:hAnsi="Calibri"/>
              <w:color w:val="1F2933"/>
              <w:sz w:val="22"/>
              <w:szCs w:val="22"/>
            </w:rPr>
            <w:tab/>
          </w:r>
          <w:r>
            <w:rPr>
              <w:rFonts w:ascii="Calibri" w:cs="Calibri" w:eastAsia="Calibri" w:hAnsi="Calibri"/>
              <w:color w:val="1F2933"/>
              <w:sz w:val="22"/>
              <w:szCs w:val="22"/>
            </w:rPr>
            <w:t xml:space="preserve">6</w:t>
          </w:r>
        </w:p>
        <w:p>
          <w:pPr>
            <w:tabs>
              <w:tab w:val="right" w:leader="dot" w:pos="9350"/>
            </w:tabs>
            <w:spacing w:after="90"/>
          </w:pPr>
          <w:r>
            <w:rPr>
              <w:rFonts w:ascii="Calibri" w:cs="Calibri" w:eastAsia="Calibri" w:hAnsi="Calibri"/>
              <w:color w:val="1F2933"/>
              <w:sz w:val="22"/>
              <w:szCs w:val="22"/>
            </w:rPr>
            <w:t xml:space="preserve">8. Couverture des 58 fonctions</w:t>
          </w:r>
          <w:r>
            <w:rPr>
              <w:rFonts w:ascii="Calibri" w:cs="Calibri" w:eastAsia="Calibri" w:hAnsi="Calibri"/>
              <w:color w:val="1F2933"/>
              <w:sz w:val="22"/>
              <w:szCs w:val="22"/>
            </w:rPr>
            <w:tab/>
          </w:r>
          <w:r>
            <w:rPr>
              <w:rFonts w:ascii="Calibri" w:cs="Calibri" w:eastAsia="Calibri" w:hAnsi="Calibri"/>
              <w:color w:val="1F2933"/>
              <w:sz w:val="22"/>
              <w:szCs w:val="22"/>
            </w:rPr>
            <w:t xml:space="preserve">7</w:t>
          </w:r>
        </w:p>
        <w:p>
          <w:pPr>
            <w:tabs>
              <w:tab w:val="right" w:leader="dot" w:pos="9350"/>
            </w:tabs>
            <w:spacing w:after="90"/>
          </w:pPr>
          <w:r>
            <w:rPr>
              <w:rFonts w:ascii="Calibri" w:cs="Calibri" w:eastAsia="Calibri" w:hAnsi="Calibri"/>
              <w:color w:val="1F2933"/>
              <w:sz w:val="22"/>
              <w:szCs w:val="22"/>
            </w:rPr>
            <w:t xml:space="preserve">9. Décisions et actions qui vous reviennent</w:t>
          </w:r>
          <w:r>
            <w:rPr>
              <w:rFonts w:ascii="Calibri" w:cs="Calibri" w:eastAsia="Calibri" w:hAnsi="Calibri"/>
              <w:color w:val="1F2933"/>
              <w:sz w:val="22"/>
              <w:szCs w:val="22"/>
            </w:rPr>
            <w:tab/>
          </w:r>
          <w:r>
            <w:rPr>
              <w:rFonts w:ascii="Calibri" w:cs="Calibri" w:eastAsia="Calibri" w:hAnsi="Calibri"/>
              <w:color w:val="1F2933"/>
              <w:sz w:val="22"/>
              <w:szCs w:val="22"/>
            </w:rPr>
            <w:t xml:space="preserve">9</w:t>
          </w:r>
        </w:p>
        <w:p>
          <w:pPr>
            <w:tabs>
              <w:tab w:val="right" w:leader="dot" w:pos="9350"/>
            </w:tabs>
            <w:spacing w:after="90"/>
          </w:pPr>
          <w:r>
            <w:rPr>
              <w:rFonts w:ascii="Calibri" w:cs="Calibri" w:eastAsia="Calibri" w:hAnsi="Calibri"/>
              <w:color w:val="1F2933"/>
              <w:sz w:val="22"/>
              <w:szCs w:val="22"/>
            </w:rPr>
            <w:t xml:space="preserve">10. Révision 2.0.1 : mise en œuvre de l'audit indépendant du 16 octobre 2026</w:t>
          </w:r>
          <w:r>
            <w:rPr>
              <w:rFonts w:ascii="Calibri" w:cs="Calibri" w:eastAsia="Calibri" w:hAnsi="Calibri"/>
              <w:color w:val="1F2933"/>
              <w:sz w:val="22"/>
              <w:szCs w:val="22"/>
            </w:rPr>
            <w:tab/>
          </w:r>
          <w:r>
            <w:rPr>
              <w:rFonts w:ascii="Calibri" w:cs="Calibri" w:eastAsia="Calibri" w:hAnsi="Calibri"/>
              <w:color w:val="1F2933"/>
              <w:sz w:val="22"/>
              <w:szCs w:val="22"/>
            </w:rPr>
            <w:t xml:space="preserve">10</w:t>
          </w:r>
        </w:p>
        <w:p>
          <w:pPr>
            <w:tabs>
              <w:tab w:val="right" w:leader="dot" w:pos="9350"/>
            </w:tabs>
            <w:spacing w:after="90"/>
          </w:pPr>
          <w:r>
            <w:rPr>
              <w:rFonts w:ascii="Calibri" w:cs="Calibri" w:eastAsia="Calibri" w:hAnsi="Calibri"/>
              <w:color w:val="1F2933"/>
              <w:sz w:val="22"/>
              <w:szCs w:val="22"/>
            </w:rPr>
            <w:t xml:space="preserve">11. Limites</w:t>
          </w:r>
          <w:r>
            <w:rPr>
              <w:rFonts w:ascii="Calibri" w:cs="Calibri" w:eastAsia="Calibri" w:hAnsi="Calibri"/>
              <w:color w:val="1F2933"/>
              <w:sz w:val="22"/>
              <w:szCs w:val="22"/>
            </w:rPr>
            <w:tab/>
          </w:r>
          <w:r>
            <w:rPr>
              <w:rFonts w:ascii="Calibri" w:cs="Calibri" w:eastAsia="Calibri" w:hAnsi="Calibri"/>
              <w:color w:val="1F2933"/>
              <w:sz w:val="22"/>
              <w:szCs w:val="22"/>
            </w:rPr>
            <w:t xml:space="preserve">11</w:t>
          </w:r>
        </w:p>
        <w:p>
          <w:pPr>
            <w:tabs>
              <w:tab w:val="right" w:leader="dot" w:pos="9350"/>
            </w:tabs>
            <w:spacing w:after="90"/>
          </w:pPr>
          <w:r>
            <w:rPr>
              <w:rFonts w:ascii="Calibri" w:cs="Calibri" w:eastAsia="Calibri" w:hAnsi="Calibri"/>
              <w:color w:val="1F2933"/>
              <w:sz w:val="22"/>
              <w:szCs w:val="22"/>
            </w:rPr>
            <w:t xml:space="preserve">Ouvrages cités</w:t>
          </w:r>
          <w:r>
            <w:rPr>
              <w:rFonts w:ascii="Calibri" w:cs="Calibri" w:eastAsia="Calibri" w:hAnsi="Calibri"/>
              <w:color w:val="1F2933"/>
              <w:sz w:val="22"/>
              <w:szCs w:val="22"/>
            </w:rPr>
            <w:tab/>
          </w:r>
          <w:r>
            <w:rPr>
              <w:rFonts w:ascii="Calibri" w:cs="Calibri" w:eastAsia="Calibri" w:hAnsi="Calibri"/>
              <w:color w:val="1F2933"/>
              <w:sz w:val="22"/>
              <w:szCs w:val="22"/>
            </w:rPr>
            <w:t xml:space="preserve">11</w:t>
          </w:r>
        </w:p>
        <w:p>
          <w:r>
            <w:fldChar w:fldCharType="end"/>
          </w:r>
        </w:p>
      </w:sdtContent>
    </w:sdt>
    <w:p>
      <w:r>
        <w:br w:type="page"/>
      </w:r>
    </w:p>
    <w:p>
      <w:pPr>
        <w:pStyle w:val="Heading1"/>
        <w:spacing w:after="160" w:before="320"/>
      </w:pPr>
      <w:r>
        <w:rPr>
          <w:rFonts w:ascii="Calibri" w:cs="Calibri" w:eastAsia="Calibri" w:hAnsi="Calibri"/>
        </w:rPr>
        <w:t xml:space="preserve">1. Ce qui a été livré</w:t>
      </w:r>
    </w:p>
    <w:p>
      <w:pPr>
        <w:spacing w:after="140" w:line="300"/>
        <w:jc w:val="both"/>
      </w:pPr>
      <w:r>
        <w:rPr>
          <w:rFonts w:ascii="Calibri" w:cs="Calibri" w:eastAsia="Calibri" w:hAnsi="Calibri"/>
          <w:color w:val="1F2933"/>
          <w:sz w:val="22"/>
          <w:szCs w:val="22"/>
        </w:rPr>
        <w:t xml:space="preserve">Le cahier des fonctions établissait ce que l'application devait faire, ce qu'elle pourrait faire et ce qu'elle ne devait pas faire ; la présente livraison convertit cette liste en un logiciel unique, testé, dont chaque fonction est rattachée à un fichier de code, à un test automatisé et, le cas échéant, à la condition de gouvernance qui la tient encore fermée. On pourrait dire que la plateforme achève le mouvement amorcé par le cahier, du discursif vers l'opératoire, en ajoutant une troisième étape, celle de la preuve exécutable.</w:t>
      </w:r>
    </w:p>
    <w:p>
      <w:pPr>
        <w:spacing w:after="140" w:line="300"/>
        <w:jc w:val="both"/>
      </w:pPr>
      <w:r>
        <w:rPr>
          <w:rFonts w:ascii="Calibri" w:cs="Calibri" w:eastAsia="Calibri" w:hAnsi="Calibri"/>
          <w:color w:val="1F2933"/>
          <w:sz w:val="22"/>
          <w:szCs w:val="22"/>
        </w:rPr>
        <w:t xml:space="preserve">Plutôt que de réécrire les briques déjà livrées, la plateforme les importe telles quelles depuis le dossier </w:t>
      </w:r>
      <w:r>
        <w:rPr>
          <w:rFonts w:ascii="Calibri" w:cs="Calibri" w:eastAsia="Calibri" w:hAnsi="Calibri"/>
          <w:i/>
          <w:iCs/>
          <w:color w:val="1F2933"/>
          <w:sz w:val="22"/>
          <w:szCs w:val="22"/>
        </w:rPr>
        <w:t xml:space="preserve">modules/</w:t>
      </w:r>
      <w:r>
        <w:rPr>
          <w:rFonts w:ascii="Calibri" w:cs="Calibri" w:eastAsia="Calibri" w:hAnsi="Calibri"/>
          <w:color w:val="1F2933"/>
          <w:sz w:val="22"/>
          <w:szCs w:val="22"/>
        </w:rPr>
        <w:t xml:space="preserve"> (atelier P1, bibliothèque fermée et pont scénique P2, interface spectateur P3, outils T.6 et tirage X.2), de sorte qu'il n'existe qu'une seule version de chaque règle ; le « Partenaire de théâtre » de Robo-Scène reste intact dans ses huit onglets et reçoit les extensions qui le concernent (consigne graduée, export TEI, garde-fou biométrique, mode pédagogique).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0"/>
        <w:gridCol w:w="4160"/>
      </w:tblGrid>
      <w:tr>
        <w:trPr>
          <w:tblHeader/>
        </w:trPr>
        <w:tc>
          <w:tcPr>
            <w:tcW w:type="dxa" w:w="520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Indicateur</w:t>
            </w:r>
          </w:p>
        </w:tc>
        <w:tc>
          <w:tcPr>
            <w:tcW w:type="dxa" w:w="416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Valeur vérifiée (v2.0.1 : 16 oct. 2026)</w:t>
            </w:r>
          </w:p>
        </w:tc>
      </w:tr>
      <w:tr>
        <w:tc>
          <w:tcPr>
            <w:tcW w:type="dxa" w:w="52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Fonctions du cahier couvertes</w:t>
            </w:r>
          </w:p>
        </w:tc>
        <w:tc>
          <w:tcPr>
            <w:tcW w:type="dxa" w:w="41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58 sur 58 (N, A, R, S, Q, G, P et O-01 à O-12)</w:t>
            </w:r>
          </w:p>
        </w:tc>
      </w:tr>
      <w:tr>
        <w:tc>
          <w:tcPr>
            <w:tcW w:type="dxa" w:w="52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État « réalisé » (critère vérifié par un test)</w:t>
            </w:r>
          </w:p>
        </w:tc>
        <w:tc>
          <w:tcPr>
            <w:tcW w:type="dxa" w:w="41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37</w:t>
            </w:r>
          </w:p>
        </w:tc>
      </w:tr>
      <w:tr>
        <w:tc>
          <w:tcPr>
            <w:tcW w:type="dxa" w:w="52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État « réalisé, à éprouver » (séance réelle, matériel ou personnes requis)</w:t>
            </w:r>
          </w:p>
        </w:tc>
        <w:tc>
          <w:tcPr>
            <w:tcW w:type="dxa" w:w="41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14</w:t>
            </w:r>
          </w:p>
        </w:tc>
      </w:tr>
      <w:tr>
        <w:tc>
          <w:tcPr>
            <w:tcW w:type="dxa" w:w="52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État « conditionné » (fonction livrée, verrouillée par la gouvernance)</w:t>
            </w:r>
          </w:p>
        </w:tc>
        <w:tc>
          <w:tcPr>
            <w:tcW w:type="dxa" w:w="41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6</w:t>
            </w:r>
          </w:p>
        </w:tc>
      </w:tr>
      <w:tr>
        <w:tc>
          <w:tcPr>
            <w:tcW w:type="dxa" w:w="52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État « hors logiciel » (document ou décision)</w:t>
            </w:r>
          </w:p>
        </w:tc>
        <w:tc>
          <w:tcPr>
            <w:tcW w:type="dxa" w:w="41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1</w:t>
            </w:r>
          </w:p>
        </w:tc>
      </w:tr>
      <w:tr>
        <w:tc>
          <w:tcPr>
            <w:tcW w:type="dxa" w:w="52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Tests automatisés</w:t>
            </w:r>
          </w:p>
        </w:tc>
        <w:tc>
          <w:tcPr>
            <w:tcW w:type="dxa" w:w="41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179 réussis, aucun ignoré, aucun échec (poste de l'équipe, 16 oct. 2026) ; sur un clone neuf du dépôt public, 176 réussis et 3 ignorés, faute des index locaux du partenaire</w:t>
            </w:r>
          </w:p>
        </w:tc>
      </w:tr>
      <w:tr>
        <w:tc>
          <w:tcPr>
            <w:tcW w:type="dxa" w:w="52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Pages de l'interface</w:t>
            </w:r>
          </w:p>
        </w:tc>
        <w:tc>
          <w:tcPr>
            <w:tcW w:type="dxa" w:w="41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11 (console, partenaire, atelier, scène, spectateur, surtitres, recherche, gouvernance, régie, tableau public, robot virtuel 3D v2.3 à 32 degrés de liberté), en français et en anglais</w:t>
            </w:r>
          </w:p>
        </w:tc>
      </w:tr>
    </w:tbl>
    <w:p>
      <w:pPr>
        <w:spacing w:after="140" w:line="300"/>
        <w:jc w:val="both"/>
      </w:pPr>
      <w:r>
        <w:rPr>
          <w:rFonts w:ascii="Calibri" w:cs="Calibri" w:eastAsia="Calibri" w:hAnsi="Calibri"/>
          <w:color w:val="1F2933"/>
          <w:sz w:val="22"/>
          <w:szCs w:val="22"/>
        </w:rPr>
        <w:t xml:space="preserve"/>
      </w:r>
    </w:p>
    <w:p>
      <w:pPr>
        <w:pStyle w:val="Heading1"/>
        <w:spacing w:after="160" w:before="320"/>
      </w:pPr>
      <w:r>
        <w:rPr>
          <w:rFonts w:ascii="Calibri" w:cs="Calibri" w:eastAsia="Calibri" w:hAnsi="Calibri"/>
        </w:rPr>
        <w:t xml:space="preserve">2. Parcours de la plateforme</w:t>
      </w:r>
    </w:p>
    <w:p>
      <w:pPr>
        <w:spacing w:after="140" w:line="300"/>
        <w:jc w:val="both"/>
      </w:pPr>
      <w:r>
        <w:rPr>
          <w:rFonts w:ascii="Calibri" w:cs="Calibri" w:eastAsia="Calibri" w:hAnsi="Calibri"/>
          <w:color w:val="1F2933"/>
          <w:sz w:val="22"/>
          <w:szCs w:val="22"/>
        </w:rPr>
        <w:t xml:space="preserve">L'architecture retient le principe que le cahier proposait, un seul schéma d'événement pour tous les modules, et l'étend aux pages : chaque interface écrit dans le même journal des cinq opérations, validé par un schéma JSON, versionné par Git et exportable en PROV-O, ce qui permet à l'analyse de lire indifféremment un atelier, une répétition avec le partenaire ou une représentation (Lebo et 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900"/>
        <w:gridCol w:w="4960"/>
      </w:tblGrid>
      <w:tr>
        <w:trPr>
          <w:tblHeader/>
        </w:trPr>
        <w:tc>
          <w:tcPr>
            <w:tcW w:type="dxa" w:w="150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Page</w:t>
            </w:r>
          </w:p>
        </w:tc>
        <w:tc>
          <w:tcPr>
            <w:tcW w:type="dxa" w:w="290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Fonctions</w:t>
            </w:r>
          </w:p>
        </w:tc>
        <w:tc>
          <w:tcPr>
            <w:tcW w:type="dxa" w:w="496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Rôle</w:t>
            </w:r>
          </w:p>
        </w:tc>
      </w:tr>
      <w:tr>
        <w:tc>
          <w:tcPr>
            <w:tcW w:type="dxa" w:w="15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Console</w:t>
            </w:r>
          </w:p>
        </w:tc>
        <w:tc>
          <w:tcPr>
            <w:tcW w:type="dxa" w:w="29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R-01 à R-04, R-07, R-08, N-07, N-08, O-12</w:t>
            </w:r>
          </w:p>
        </w:tc>
        <w:tc>
          <w:tcPr>
            <w:tcW w:type="dxa" w:w="49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Flotte, robot actif, observateur, règle de l'IA, arrêt global, saisie « de tête », voix divulguée</w:t>
            </w:r>
          </w:p>
        </w:tc>
      </w:tr>
      <w:tr>
        <w:tc>
          <w:tcPr>
            <w:tcW w:type="dxa" w:w="15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Partenaire</w:t>
            </w:r>
          </w:p>
        </w:tc>
        <w:tc>
          <w:tcPr>
            <w:tcW w:type="dxa" w:w="29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O-01 à O-04, O-10</w:t>
            </w:r>
          </w:p>
        </w:tc>
        <w:tc>
          <w:tcPr>
            <w:tcW w:type="dxa" w:w="49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Formation, répétiteur, variations, analyse de pièce, DraCor, TEI, mode É.T.T.</w:t>
            </w:r>
          </w:p>
        </w:tc>
      </w:tr>
      <w:tr>
        <w:tc>
          <w:tcPr>
            <w:tcW w:type="dxa" w:w="15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Atelier</w:t>
            </w:r>
          </w:p>
        </w:tc>
        <w:tc>
          <w:tcPr>
            <w:tcW w:type="dxa" w:w="29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A-01 à A-08, O-01</w:t>
            </w:r>
          </w:p>
        </w:tc>
        <w:tc>
          <w:tcPr>
            <w:tcW w:type="dxa" w:w="49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Cinq opérations, routeur D03, modèles D13, registre de consigne, verrous</w:t>
            </w:r>
          </w:p>
        </w:tc>
      </w:tr>
      <w:tr>
        <w:tc>
          <w:tcPr>
            <w:tcW w:type="dxa" w:w="15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Scène</w:t>
            </w:r>
          </w:p>
        </w:tc>
        <w:tc>
          <w:tcPr>
            <w:tcW w:type="dxa" w:w="29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R-05, R-06, O-05, O-06, O-11</w:t>
            </w:r>
          </w:p>
        </w:tc>
        <w:tc>
          <w:tcPr>
            <w:tcW w:type="dxa" w:w="49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GO unique, multi-robots, aperçu et GO simulés, écho tracé, surtitres</w:t>
            </w:r>
          </w:p>
        </w:tc>
      </w:tr>
      <w:tr>
        <w:tc>
          <w:tcPr>
            <w:tcW w:type="dxa" w:w="15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Spectateur</w:t>
            </w:r>
          </w:p>
        </w:tc>
        <w:tc>
          <w:tcPr>
            <w:tcW w:type="dxa" w:w="29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S-01 à S-06</w:t>
            </w:r>
          </w:p>
        </w:tc>
        <w:tc>
          <w:tcPr>
            <w:tcW w:type="dxa" w:w="49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Tirage scellé, séance P3, questionnaires sur serveur public distinct, avis</w:t>
            </w:r>
          </w:p>
        </w:tc>
      </w:tr>
      <w:tr>
        <w:tc>
          <w:tcPr>
            <w:tcW w:type="dxa" w:w="15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Surtitres</w:t>
            </w:r>
          </w:p>
        </w:tc>
        <w:tc>
          <w:tcPr>
            <w:tcW w:type="dxa" w:w="29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O-06</w:t>
            </w:r>
          </w:p>
        </w:tc>
        <w:tc>
          <w:tcPr>
            <w:tcW w:type="dxa" w:w="49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Proposition, validation humaine, étiquette, export WebVTT</w:t>
            </w:r>
          </w:p>
        </w:tc>
      </w:tr>
      <w:tr>
        <w:tc>
          <w:tcPr>
            <w:tcW w:type="dxa" w:w="15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Recherche</w:t>
            </w:r>
          </w:p>
        </w:tc>
        <w:tc>
          <w:tcPr>
            <w:tcW w:type="dxa" w:w="29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Q-01 à Q-05, O-02, O-08, O-09</w:t>
            </w:r>
          </w:p>
        </w:tc>
        <w:tc>
          <w:tcPr>
            <w:tcW w:type="dxa" w:w="49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Analyse reproductible, codage local, veille, tableau public</w:t>
            </w:r>
          </w:p>
        </w:tc>
      </w:tr>
      <w:tr>
        <w:tc>
          <w:tcPr>
            <w:tcW w:type="dxa" w:w="15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Gouvernance</w:t>
            </w:r>
          </w:p>
        </w:tc>
        <w:tc>
          <w:tcPr>
            <w:tcW w:type="dxa" w:w="29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G-01 à G-07, R-08</w:t>
            </w:r>
          </w:p>
        </w:tc>
        <w:tc>
          <w:tcPr>
            <w:tcW w:type="dxa" w:w="49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Verrous, incidents, décisions humaines, conservation, registre</w:t>
            </w:r>
          </w:p>
        </w:tc>
      </w:tr>
      <w:tr>
        <w:tc>
          <w:tcPr>
            <w:tcW w:type="dxa" w:w="15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Régie</w:t>
            </w:r>
          </w:p>
        </w:tc>
        <w:tc>
          <w:tcPr>
            <w:tcW w:type="dxa" w:w="29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P-01 à P-04</w:t>
            </w:r>
          </w:p>
        </w:tc>
        <w:tc>
          <w:tcPr>
            <w:tcW w:type="dxa" w:w="49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Registre du projet, régisseur IA en lecture, revue trimestrielle, dépôts</w:t>
            </w:r>
          </w:p>
        </w:tc>
      </w:tr>
    </w:tbl>
    <w:p>
      <w:pPr>
        <w:spacing w:after="140" w:line="300"/>
        <w:jc w:val="both"/>
      </w:pPr>
      <w:r>
        <w:rPr>
          <w:rFonts w:ascii="Calibri" w:cs="Calibri" w:eastAsia="Calibri" w:hAnsi="Calibri"/>
          <w:color w:val="1F2933"/>
          <w:sz w:val="22"/>
          <w:szCs w:val="22"/>
        </w:rPr>
        <w:t xml:space="preserve"/>
      </w:r>
    </w:p>
    <w:p>
      <w:pPr>
        <w:pStyle w:val="Heading1"/>
        <w:spacing w:after="160" w:before="320"/>
      </w:pPr>
      <w:r>
        <w:rPr>
          <w:rFonts w:ascii="Calibri" w:cs="Calibri" w:eastAsia="Calibri" w:hAnsi="Calibri"/>
        </w:rPr>
        <w:t xml:space="preserve">3. Connecter n'importe quel robot</w:t>
      </w:r>
    </w:p>
    <w:p>
      <w:pPr>
        <w:spacing w:after="140" w:line="300"/>
        <w:jc w:val="both"/>
      </w:pPr>
      <w:r>
        <w:rPr>
          <w:rFonts w:ascii="Calibri" w:cs="Calibri" w:eastAsia="Calibri" w:hAnsi="Calibri"/>
          <w:color w:val="1F2933"/>
          <w:sz w:val="22"/>
          <w:szCs w:val="22"/>
        </w:rPr>
        <w:t xml:space="preserve">Votre demande portait sur une application capable de recevoir n'importe quel robot, avec des options de langages et d'interface unifiées ; vous avez précisé que « langages » couvrait trois réalités, à savoir le langage dans lequel s'écrit le pilote, le protocole qui relie le robot au pont et la langue de l'interface. La plateforme y répond par trois couches superposées, dont la plus importante est sans doute la plus discrète : quel que soit le robot, chaque commande traverse la même couche de sécurité et la même bibliothèque fermée.</w:t>
      </w:r>
    </w:p>
    <w:p>
      <w:pPr>
        <w:pStyle w:val="ListParagraph"/>
        <w:numPr>
          <w:ilvl w:val="0"/>
          <w:numId w:val="2"/>
        </w:numPr>
        <w:spacing w:after="80" w:line="290"/>
      </w:pPr>
      <w:r>
        <w:rPr>
          <w:rFonts w:ascii="Calibri" w:cs="Calibri" w:eastAsia="Calibri" w:hAnsi="Calibri"/>
          <w:b/>
          <w:bCs/>
          <w:color w:val="1F2933"/>
          <w:sz w:val="22"/>
          <w:szCs w:val="22"/>
        </w:rPr>
        <w:t xml:space="preserve">Description : </w:t>
      </w:r>
      <w:r>
        <w:rPr>
          <w:rFonts w:ascii="Calibri" w:cs="Calibri" w:eastAsia="Calibri" w:hAnsi="Calibri"/>
          <w:color w:val="1F2933"/>
          <w:sz w:val="22"/>
          <w:szCs w:val="22"/>
        </w:rPr>
        <w:t xml:space="preserve">un profil TOML par robot (articulations, limites, pilote, zone d'exclusion, bibliothèque) ; profils livrés pour l'AiNex (24 servos, zone de 1,2 m), le Reachy Mini et des exemples ROS 2, MQTT, OSC, HTTP et pilotes externes.</w:t>
      </w:r>
    </w:p>
    <w:p>
      <w:pPr>
        <w:pStyle w:val="ListParagraph"/>
        <w:numPr>
          <w:ilvl w:val="0"/>
          <w:numId w:val="2"/>
        </w:numPr>
        <w:spacing w:after="80" w:line="290"/>
      </w:pPr>
      <w:r>
        <w:rPr>
          <w:rFonts w:ascii="Calibri" w:cs="Calibri" w:eastAsia="Calibri" w:hAnsi="Calibri"/>
          <w:b/>
          <w:bCs/>
          <w:color w:val="1F2933"/>
          <w:sz w:val="22"/>
          <w:szCs w:val="22"/>
        </w:rPr>
        <w:t xml:space="preserve">Protocoles : </w:t>
      </w:r>
      <w:r>
        <w:rPr>
          <w:rFonts w:ascii="Calibri" w:cs="Calibri" w:eastAsia="Calibri" w:hAnsi="Calibri"/>
          <w:color w:val="1F2933"/>
          <w:sz w:val="22"/>
          <w:szCs w:val="22"/>
        </w:rPr>
        <w:t xml:space="preserve">ligne JSON (série, TCP, UDP, WebSocket), bus de servos Hiwonder, rosbridge pour ROS 1 et 2, MQTT, OSC, HTTP REST, kit du Reachy Mini et processus externe ; le langage de commande unifié v2 reste compatible avec le micrologiciel v1.</w:t>
      </w:r>
    </w:p>
    <w:p>
      <w:pPr>
        <w:pStyle w:val="ListParagraph"/>
        <w:numPr>
          <w:ilvl w:val="0"/>
          <w:numId w:val="2"/>
        </w:numPr>
        <w:spacing w:after="80" w:line="290"/>
      </w:pPr>
      <w:r>
        <w:rPr>
          <w:rFonts w:ascii="Calibri" w:cs="Calibri" w:eastAsia="Calibri" w:hAnsi="Calibri"/>
          <w:b/>
          <w:bCs/>
          <w:color w:val="1F2933"/>
          <w:sz w:val="22"/>
          <w:szCs w:val="22"/>
        </w:rPr>
        <w:t xml:space="preserve">Langages de pilote : </w:t>
      </w:r>
      <w:r>
        <w:rPr>
          <w:rFonts w:ascii="Calibri" w:cs="Calibri" w:eastAsia="Calibri" w:hAnsi="Calibri"/>
          <w:color w:val="1F2933"/>
          <w:sz w:val="22"/>
          <w:szCs w:val="22"/>
        </w:rPr>
        <w:t xml:space="preserve">trousses Python, JavaScript (Node) et C++, vérifiées de bout en bout par le pont, et bibliothèque Arduino ; (Inférence) un robot inconnu s'ajoute donc en écrivant un court pilote dans son propre langage, sans toucher au pont.</w:t>
      </w:r>
    </w:p>
    <w:p>
      <w:pPr>
        <w:pStyle w:val="ListParagraph"/>
        <w:numPr>
          <w:ilvl w:val="0"/>
          <w:numId w:val="2"/>
        </w:numPr>
        <w:spacing w:after="80" w:line="290"/>
      </w:pPr>
      <w:r>
        <w:rPr>
          <w:rFonts w:ascii="Calibri" w:cs="Calibri" w:eastAsia="Calibri" w:hAnsi="Calibri"/>
          <w:b/>
          <w:bCs/>
          <w:color w:val="1F2933"/>
          <w:sz w:val="22"/>
          <w:szCs w:val="22"/>
        </w:rPr>
        <w:t xml:space="preserve">Langues d'interface : </w:t>
      </w:r>
      <w:r>
        <w:rPr>
          <w:rFonts w:ascii="Calibri" w:cs="Calibri" w:eastAsia="Calibri" w:hAnsi="Calibri"/>
          <w:color w:val="1F2933"/>
          <w:sz w:val="22"/>
          <w:szCs w:val="22"/>
        </w:rPr>
        <w:t xml:space="preserve">toutes les pages basculent du français à l'anglais ; le questionnaire public suit la langue du navigateur de la personne spectatrice.</w:t>
      </w:r>
    </w:p>
    <w:p>
      <w:pPr>
        <w:spacing w:after="140" w:line="300"/>
        <w:jc w:val="both"/>
      </w:pPr>
      <w:r>
        <w:rPr>
          <w:rFonts w:ascii="Calibri" w:cs="Calibri" w:eastAsia="Calibri" w:hAnsi="Calibri"/>
          <w:color w:val="1F2933"/>
          <w:sz w:val="22"/>
          <w:szCs w:val="22"/>
        </w:rPr>
        <w:t xml:space="preserve">(Inférence) Le pilote Hiwonder a été écrit à partir de la documentation du protocole de bus des servos LX ; il n'a pas été essayé sur un AiNex physique, et la fiche F-07 des données de sécurité du fabricant reste à obtenir : d'où l'état « à éprouver » de R-07 et la simulation imposée par défaut dans le profil.</w:t>
      </w:r>
    </w:p>
    <w:p>
      <w:pPr>
        <w:pStyle w:val="Heading1"/>
        <w:spacing w:after="160" w:before="320"/>
      </w:pPr>
      <w:r>
        <w:rPr>
          <w:rFonts w:ascii="Calibri" w:cs="Calibri" w:eastAsia="Calibri" w:hAnsi="Calibri"/>
        </w:rPr>
        <w:t xml:space="preserve">4. Modèles d'IA et décision D13</w:t>
      </w:r>
    </w:p>
    <w:p>
      <w:pPr>
        <w:spacing w:after="140" w:line="300"/>
        <w:jc w:val="both"/>
      </w:pPr>
      <w:r>
        <w:rPr>
          <w:rFonts w:ascii="Calibri" w:cs="Calibri" w:eastAsia="Calibri" w:hAnsi="Calibri"/>
          <w:color w:val="1F2933"/>
          <w:sz w:val="22"/>
          <w:szCs w:val="22"/>
        </w:rPr>
        <w:t xml:space="preserve">Conformément à vos consignes, la plateforme emploie toujours la version la plus récente des familles retenues : Claude Opus 5.5 pour l'écriture et l'analyse, Claude Sonnet 5.5 pour les tâches rapides et la commande, GPT-6.1 Sol et GPT-6 Luna comme second fournisseur, et, comme modèle local SI-02, Luciole-8B-Instruct-1.1, désigné le 16 octobre 2026 à l'issue de l'évaluation à l'aveugle du 12 octobre (n = 131 propositions ; français 4,18/5, jouabilité 3,88/5, stéréotype moyen 0,09, JSON valide à 100 %), Apertus-8B-Instruct-2509 servant de secours local (stéréotype moyen 0,26 : à surveiller). Le modèle gemma4:12b, provisoire, n'est plus employé. La vérification faite au cours de la session n'a trouvé aucune version « GPT-6 Terra » ; la famille Astra, à accès restreint, n'est pas retenue. La règle « adopter à chaque séance » est appliquée littéralement : la version est résolue à l'ouverture de la séance, jamais pendant, et toute adoption est consignée avec l'ancienne et la nouvelle version dans un historique que lit la revue trimestrielle.</w:t>
      </w:r>
    </w:p>
    <w:p>
      <w:pPr>
        <w:spacing w:after="140" w:line="300"/>
        <w:jc w:val="both"/>
      </w:pPr>
      <w:r>
        <w:rPr>
          <w:rFonts w:ascii="Calibri" w:cs="Calibri" w:eastAsia="Calibri" w:hAnsi="Calibri"/>
          <w:color w:val="1F2933"/>
          <w:sz w:val="22"/>
          <w:szCs w:val="22"/>
        </w:rPr>
        <w:t xml:space="preserve">Le routeur de sensibilité du prototype P1 est conservé comme source unique de la règle D03 : un contenu qui contient un nom, un courriel, un téléphone ou la mention « confidentielle » ne part que vers le modèle local, et l'indisponibilité de celui-ci entraîne un refus, jamais un repli silencieux vers un service distant. Le codage des entretiens (Q-05) ajoute une seconde barrière, puisqu'il rejette toute réponse qui ne viendrait pas de la famille locale.</w:t>
      </w:r>
    </w:p>
    <w:p>
      <w:pPr>
        <w:pStyle w:val="Heading1"/>
        <w:spacing w:after="160" w:before="320"/>
      </w:pPr>
      <w:r>
        <w:rPr>
          <w:rFonts w:ascii="Calibri" w:cs="Calibri" w:eastAsia="Calibri" w:hAnsi="Calibri"/>
        </w:rPr>
        <w:t xml:space="preserve">5. Analyse : ce que le code applique du plan A.2</w:t>
      </w:r>
    </w:p>
    <w:p>
      <w:pPr>
        <w:spacing w:after="140" w:line="300"/>
        <w:jc w:val="both"/>
      </w:pPr>
      <w:r>
        <w:rPr>
          <w:rFonts w:ascii="Calibri" w:cs="Calibri" w:eastAsia="Calibri" w:hAnsi="Calibri"/>
          <w:color w:val="1F2933"/>
          <w:sz w:val="22"/>
          <w:szCs w:val="22"/>
        </w:rPr>
        <w:t xml:space="preserve">Le plan d'analyse A.2, rédigé pour préenregistrement, rappelle avec Nosek et ses collègues que confondre la génération de postdictions avec la mise à l'épreuve de prédictions réduit la crédibilité des résultats (Nosek et al.) ; la plateforme en tire la conséquence logicielle, puisque les règles du plan y sont codées avant toute donnée et que chaque analyse produit un dossier daté, muni d'un manifeste d'empreintes, qu'un tiers peut régénérer à l'identique.</w:t>
      </w:r>
    </w:p>
    <w:p>
      <w:pPr>
        <w:pStyle w:val="ListParagraph"/>
        <w:numPr>
          <w:ilvl w:val="0"/>
          <w:numId w:val="2"/>
        </w:numPr>
        <w:spacing w:after="80" w:line="290"/>
      </w:pPr>
      <w:r>
        <w:rPr>
          <w:rFonts w:ascii="Calibri" w:cs="Calibri" w:eastAsia="Calibri" w:hAnsi="Calibri"/>
          <w:color w:val="1F2933"/>
          <w:sz w:val="22"/>
          <w:szCs w:val="22"/>
        </w:rPr>
        <w:t xml:space="preserve">Scores : engagement narratif si au moins 10 des 12 énoncés sont remplis, agentivité perçue si au moins 5 des 6, l'énoncé AG_5 étant inversé ; aucune imputation dans l'analyse principale (A.2, § 7).</w:t>
      </w:r>
    </w:p>
    <w:p>
      <w:pPr>
        <w:pStyle w:val="ListParagraph"/>
        <w:numPr>
          <w:ilvl w:val="0"/>
          <w:numId w:val="2"/>
        </w:numPr>
        <w:spacing w:after="80" w:line="290"/>
      </w:pPr>
      <w:r>
        <w:rPr>
          <w:rFonts w:ascii="Calibri" w:cs="Calibri" w:eastAsia="Calibri" w:hAnsi="Calibri"/>
          <w:color w:val="1F2933"/>
          <w:sz w:val="22"/>
          <w:szCs w:val="22"/>
        </w:rPr>
        <w:t xml:space="preserve">Exclusions : les moins de 18 ans ne sont jamais enregistrés ; la présence incomplète est consignée puis exclue à l'analyse ; une représentation interrompue s'exclut par paramètre et figure au manifeste.</w:t>
      </w:r>
    </w:p>
    <w:p>
      <w:pPr>
        <w:pStyle w:val="ListParagraph"/>
        <w:numPr>
          <w:ilvl w:val="0"/>
          <w:numId w:val="2"/>
        </w:numPr>
        <w:spacing w:after="80" w:line="290"/>
      </w:pPr>
      <w:r>
        <w:rPr>
          <w:rFonts w:ascii="Calibri" w:cs="Calibri" w:eastAsia="Calibri" w:hAnsi="Calibri"/>
          <w:color w:val="1F2933"/>
          <w:sz w:val="22"/>
          <w:szCs w:val="22"/>
        </w:rPr>
        <w:t xml:space="preserve">H4 n'est tenue pour soutenue que si H4a et H4b le sont ensemble ; H4b est un test de non-infériorité à la borne de −0,4 écart-type, dans l'esprit de la procédure des deux tests unilatéraux que décrit Lakens (Lakens).</w:t>
      </w:r>
    </w:p>
    <w:p>
      <w:pPr>
        <w:pStyle w:val="ListParagraph"/>
        <w:numPr>
          <w:ilvl w:val="0"/>
          <w:numId w:val="2"/>
        </w:numPr>
        <w:spacing w:after="80" w:line="290"/>
      </w:pPr>
      <w:r>
        <w:rPr>
          <w:rFonts w:ascii="Calibri" w:cs="Calibri" w:eastAsia="Calibri" w:hAnsi="Calibri"/>
          <w:color w:val="1F2933"/>
          <w:sz w:val="22"/>
          <w:szCs w:val="22"/>
        </w:rPr>
        <w:t xml:space="preserve">L'analyse de référence demeure le modèle linéaire mixte avec correction de Kenward-Roger, dont le plan justifie le choix par la comparaison de McNeish et Stapleton (McNeish et Stapleton) ; elle est écrite en R (lme4, pbkrtest, ordinal) et copiée dans chaque dossier d'analyse, avec la sensibilité ordinale que recommandent Liddell et Kruschke (Liddell et Kruschke).</w:t>
      </w:r>
    </w:p>
    <w:p>
      <w:pPr>
        <w:pStyle w:val="ListParagraph"/>
        <w:numPr>
          <w:ilvl w:val="0"/>
          <w:numId w:val="2"/>
        </w:numPr>
        <w:spacing w:after="80" w:line="290"/>
      </w:pPr>
      <w:r>
        <w:rPr>
          <w:rFonts w:ascii="Calibri" w:cs="Calibri" w:eastAsia="Calibri" w:hAnsi="Calibri"/>
          <w:color w:val="1F2933"/>
          <w:sz w:val="22"/>
          <w:szCs w:val="22"/>
        </w:rPr>
        <w:t xml:space="preserve">H1 et H3, exploratoires : corrélation de Spearman avec intervalle par rééchantillonnage (10 000 tirages, graine fixe) et proportion d'artistes dont la déclaration excède la mesure en rangs centiles.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9A2E" w:sz="12"/>
              <w:left w:val="single" w:color="C99A2E" w:sz="12"/>
              <w:bottom w:val="single" w:color="C99A2E" w:sz="12"/>
              <w:right w:val="single" w:color="C99A2E" w:sz="12"/>
            </w:tcBorders>
            <w:shd w:fill="FFF8E6" w:color="auto" w:val="clear"/>
            <w:tcMar>
              <w:top w:type="dxa" w:w="140"/>
              <w:left w:type="dxa" w:w="200"/>
              <w:bottom w:type="dxa" w:w="140"/>
              <w:right w:type="dxa" w:w="200"/>
            </w:tcMar>
          </w:tcPr>
          <w:p>
            <w:pPr>
              <w:spacing w:after="100"/>
            </w:pPr>
            <w:r>
              <w:rPr>
                <w:rFonts w:ascii="Calibri" w:cs="Calibri" w:eastAsia="Calibri" w:hAnsi="Calibri"/>
                <w:b/>
                <w:bCs/>
                <w:color w:val="8A5A00"/>
                <w:sz w:val="24"/>
                <w:szCs w:val="24"/>
              </w:rPr>
              <w:t xml:space="preserve">Choix d'exécution que le plan ne fixe pas — déclarés, à valider par vous</w:t>
            </w:r>
          </w:p>
          <w:p>
            <w:pPr>
              <w:spacing w:after="80" w:line="280"/>
            </w:pPr>
            <w:r>
              <w:rPr>
                <w:rFonts w:ascii="Calibri" w:cs="Calibri" w:eastAsia="Calibri" w:hAnsi="Calibri"/>
                <w:color w:val="1F2933"/>
                <w:sz w:val="21"/>
                <w:szCs w:val="21"/>
              </w:rPr>
              <w:t xml:space="preserve">(Inférence) Test t de Welch pour l'analyse au niveau des représentations, qui double le modèle mixte.</w:t>
            </w:r>
          </w:p>
          <w:p>
            <w:pPr>
              <w:spacing w:after="80" w:line="280"/>
            </w:pPr>
            <w:r>
              <w:rPr>
                <w:rFonts w:ascii="Calibri" w:cs="Calibri" w:eastAsia="Calibri" w:hAnsi="Calibri"/>
                <w:color w:val="1F2933"/>
                <w:sz w:val="21"/>
                <w:szCs w:val="21"/>
              </w:rPr>
              <w:t xml:space="preserve">(Inférence) Écart-type de référence de H4b : écart-type individuel de l'engagement sur l'ensemble des répondants retenus.</w:t>
            </w:r>
          </w:p>
          <w:p>
            <w:pPr>
              <w:spacing w:after="80" w:line="280"/>
            </w:pPr>
            <w:r>
              <w:rPr>
                <w:rFonts w:ascii="Calibri" w:cs="Calibri" w:eastAsia="Calibri" w:hAnsi="Calibri"/>
                <w:color w:val="1F2933"/>
                <w:sz w:val="21"/>
                <w:szCs w:val="21"/>
              </w:rPr>
              <w:t xml:space="preserve">(Inférence) Cohérence de la manipulation : provenance affichée ↔ « oui » ou « en partie » ; non affichée ↔ « non ».</w:t>
            </w:r>
          </w:p>
          <w:p>
            <w:pPr>
              <w:spacing w:after="80" w:line="280"/>
            </w:pPr>
            <w:r>
              <w:rPr>
                <w:rFonts w:ascii="Calibri" w:cs="Calibri" w:eastAsia="Calibri" w:hAnsi="Calibri"/>
                <w:color w:val="1F2933"/>
                <w:sz w:val="21"/>
                <w:szCs w:val="21"/>
              </w:rPr>
              <w:t xml:space="preserve">(Inférence) Énoncé B7 du questionnaire I-6 retenu comme évaluation esthétique pour H3.</w:t>
            </w:r>
          </w:p>
          <w:p>
            <w:pPr>
              <w:spacing w:after="80" w:line="280"/>
            </w:pPr>
            <w:r>
              <w:rPr>
                <w:rFonts w:ascii="Calibri" w:cs="Calibri" w:eastAsia="Calibri" w:hAnsi="Calibri"/>
                <w:color w:val="1F2933"/>
                <w:sz w:val="21"/>
                <w:szCs w:val="21"/>
              </w:rPr>
              <w:t xml:space="preserve">(Inférence) Indice « part du système dans le texte final » (mots conservés des propositions sur mots du texte final) : indicateur complémentaire de la plateforme, non confirmatoire.</w:t>
            </w:r>
          </w:p>
        </w:tc>
      </w:tr>
    </w:tbl>
    <w:p>
      <w:pPr>
        <w:spacing w:after="140" w:line="300"/>
        <w:jc w:val="both"/>
      </w:pPr>
      <w:r>
        <w:rPr>
          <w:rFonts w:ascii="Calibri" w:cs="Calibri" w:eastAsia="Calibri" w:hAnsi="Calibri"/>
          <w:color w:val="1F2933"/>
          <w:sz w:val="22"/>
          <w:szCs w:val="22"/>
        </w:rPr>
        <w:t xml:space="preserve"/>
      </w:r>
    </w:p>
    <w:p>
      <w:pPr>
        <w:spacing w:after="140" w:line="300"/>
        <w:jc w:val="both"/>
      </w:pPr>
      <w:r>
        <w:rPr>
          <w:rFonts w:ascii="Calibri" w:cs="Calibri" w:eastAsia="Calibri" w:hAnsi="Calibri"/>
          <w:color w:val="1F2933"/>
          <w:sz w:val="22"/>
          <w:szCs w:val="22"/>
        </w:rPr>
        <w:t xml:space="preserve">Pour la validation par juges des variations émotionnelles (O-02), la plateforme reprend la fonction d'alpha de Krippendorff du prototype P1, établie d'après Hayes et Krippendorff (Hayes et Krippendorff), et applique les seuils usuels de 0,800 et, pour des conclusions provisoires, de 0,667 (Krippendorff 241-243) ; tant qu'un régime n'atteint pas ce seuil, le partenaire l'affiche comme « non validé » à côté de chaque proposition.</w:t>
      </w:r>
    </w:p>
    <w:p>
      <w:pPr>
        <w:pStyle w:val="Heading1"/>
        <w:spacing w:after="160" w:before="320"/>
      </w:pPr>
      <w:r>
        <w:rPr>
          <w:rFonts w:ascii="Calibri" w:cs="Calibri" w:eastAsia="Calibri" w:hAnsi="Calibri"/>
        </w:rPr>
        <w:t xml:space="preserve">6. Gouvernance appliquée par le code</w:t>
      </w:r>
    </w:p>
    <w:p>
      <w:pPr>
        <w:spacing w:after="140" w:line="300"/>
        <w:jc w:val="both"/>
      </w:pPr>
      <w:r>
        <w:rPr>
          <w:rFonts w:ascii="Calibri" w:cs="Calibri" w:eastAsia="Calibri" w:hAnsi="Calibri"/>
          <w:color w:val="1F2933"/>
          <w:sz w:val="22"/>
          <w:szCs w:val="22"/>
        </w:rPr>
        <w:t xml:space="preserve">Deux obligations québécoises structurent la conception. La Commission d'accès à l'information encadre strictement la biométrie (CAI) ; la plateforme n'en produit donc aucune, son garde-fou refusant toute séquence brute de points de pose et toute option de conservation vidéo. Lorsqu'une décision concernant une personne reposerait exclusivement sur un traitement automatisé, des obligations particulières naîtraient (Caron) ; la plateforme les évite par construction, puisque toute recommandation reste sans effet tant qu'une personne ne l'a pas validée avec un motif.</w:t>
      </w:r>
    </w:p>
    <w:p>
      <w:pPr>
        <w:pStyle w:val="ListParagraph"/>
        <w:numPr>
          <w:ilvl w:val="0"/>
          <w:numId w:val="2"/>
        </w:numPr>
        <w:spacing w:after="80" w:line="290"/>
      </w:pPr>
      <w:r>
        <w:rPr>
          <w:rFonts w:ascii="Calibri" w:cs="Calibri" w:eastAsia="Calibri" w:hAnsi="Calibri"/>
          <w:color w:val="1F2933"/>
          <w:sz w:val="22"/>
          <w:szCs w:val="22"/>
        </w:rPr>
        <w:t xml:space="preserve">Verrou G-02 : aucune collecte auprès de personnes tant que l'avis éthique n'est pas consigné ; le mode « essai » reste ouvert, avec des données rangées à part et marquées.</w:t>
      </w:r>
    </w:p>
    <w:p>
      <w:pPr>
        <w:pStyle w:val="ListParagraph"/>
        <w:numPr>
          <w:ilvl w:val="0"/>
          <w:numId w:val="2"/>
        </w:numPr>
        <w:spacing w:after="80" w:line="290"/>
      </w:pPr>
      <w:r>
        <w:rPr>
          <w:rFonts w:ascii="Calibri" w:cs="Calibri" w:eastAsia="Calibri" w:hAnsi="Calibri"/>
          <w:color w:val="1F2933"/>
          <w:sz w:val="22"/>
          <w:szCs w:val="22"/>
        </w:rPr>
        <w:t xml:space="preserve">EFVP G-04 : chaque fonction porte une version ; une fonction plus récente que la version couverte par l'EFVP est refusée en mode public. Quatre fonctions attendent la révision : atelier P1 1.1, questionnaires P3, codage des entretiens et surtitres.</w:t>
      </w:r>
    </w:p>
    <w:p>
      <w:pPr>
        <w:pStyle w:val="ListParagraph"/>
        <w:numPr>
          <w:ilvl w:val="0"/>
          <w:numId w:val="2"/>
        </w:numPr>
        <w:spacing w:after="80" w:line="290"/>
      </w:pPr>
      <w:r>
        <w:rPr>
          <w:rFonts w:ascii="Calibri" w:cs="Calibri" w:eastAsia="Calibri" w:hAnsi="Calibri"/>
          <w:color w:val="1F2933"/>
          <w:sz w:val="22"/>
          <w:szCs w:val="22"/>
        </w:rPr>
        <w:t xml:space="preserve">Incidents R-08 : tout arrêt d'urgence crée une fiche, que seule une personne peut clore, avec gravité, cause et mesures.</w:t>
      </w:r>
    </w:p>
    <w:p>
      <w:pPr>
        <w:pStyle w:val="ListParagraph"/>
        <w:numPr>
          <w:ilvl w:val="0"/>
          <w:numId w:val="2"/>
        </w:numPr>
        <w:spacing w:after="80" w:line="290"/>
      </w:pPr>
      <w:r>
        <w:rPr>
          <w:rFonts w:ascii="Calibri" w:cs="Calibri" w:eastAsia="Calibri" w:hAnsi="Calibri"/>
          <w:color w:val="1F2933"/>
          <w:sz w:val="22"/>
          <w:szCs w:val="22"/>
        </w:rPr>
        <w:t xml:space="preserve">Conservation G-07 : aucune destruction tant que les échéances ne sont pas fixées ; la destruction exige ensuite une confirmation écrite et un pseudonyme.</w:t>
      </w:r>
    </w:p>
    <w:p>
      <w:pPr>
        <w:pStyle w:val="ListParagraph"/>
        <w:numPr>
          <w:ilvl w:val="0"/>
          <w:numId w:val="2"/>
        </w:numPr>
        <w:spacing w:after="80" w:line="290"/>
      </w:pPr>
      <w:r>
        <w:rPr>
          <w:rFonts w:ascii="Calibri" w:cs="Calibri" w:eastAsia="Calibri" w:hAnsi="Calibri"/>
          <w:color w:val="1F2933"/>
          <w:sz w:val="22"/>
          <w:szCs w:val="22"/>
        </w:rPr>
        <w:t xml:space="preserve">Accessibilité : les interfaces publiques visent les critères de niveau AA des WCAG 2.2, y compris la taille minimale des cibles (W3C) ; les tests avec des usagers (P3.3) restent à mener.</w:t>
      </w:r>
    </w:p>
    <w:p>
      <w:pPr>
        <w:pStyle w:val="Heading1"/>
        <w:spacing w:after="160" w:before="320"/>
      </w:pPr>
      <w:r>
        <w:rPr>
          <w:rFonts w:ascii="Calibri" w:cs="Calibri" w:eastAsia="Calibri" w:hAnsi="Calibri"/>
        </w:rPr>
        <w:t xml:space="preserve">7. Extensions du § 4 : ce qui a été réalisé</w:t>
      </w:r>
    </w:p>
    <w:p>
      <w:pPr>
        <w:pStyle w:val="ListParagraph"/>
        <w:numPr>
          <w:ilvl w:val="0"/>
          <w:numId w:val="2"/>
        </w:numPr>
        <w:spacing w:after="80" w:line="290"/>
      </w:pPr>
      <w:r>
        <w:rPr>
          <w:rFonts w:ascii="Calibri" w:cs="Calibri" w:eastAsia="Calibri" w:hAnsi="Calibri"/>
          <w:b/>
          <w:bCs/>
          <w:color w:val="1F2933"/>
          <w:sz w:val="22"/>
          <w:szCs w:val="22"/>
        </w:rPr>
        <w:t xml:space="preserve">O-01 et O-02 : </w:t>
      </w:r>
      <w:r>
        <w:rPr>
          <w:rFonts w:ascii="Calibri" w:cs="Calibri" w:eastAsia="Calibri" w:hAnsi="Calibri"/>
          <w:color w:val="1F2933"/>
          <w:sz w:val="22"/>
          <w:szCs w:val="22"/>
        </w:rPr>
        <w:t xml:space="preserve">quatre registres de consigne (ouverte, orientée, précise, prescriptive), consignés comme variable, en réponse à l'observation de Kang et Lee selon laquelle des scripts trop précis restreignent la liberté d'interprétation (Kang et Lee) ; validation par juges à l'aveugle.</w:t>
      </w:r>
    </w:p>
    <w:p>
      <w:pPr>
        <w:pStyle w:val="ListParagraph"/>
        <w:numPr>
          <w:ilvl w:val="0"/>
          <w:numId w:val="2"/>
        </w:numPr>
        <w:spacing w:after="80" w:line="290"/>
      </w:pPr>
      <w:r>
        <w:rPr>
          <w:rFonts w:ascii="Calibri" w:cs="Calibri" w:eastAsia="Calibri" w:hAnsi="Calibri"/>
          <w:b/>
          <w:bCs/>
          <w:color w:val="1F2933"/>
          <w:sz w:val="22"/>
          <w:szCs w:val="22"/>
        </w:rPr>
        <w:t xml:space="preserve">O-03 : </w:t>
      </w:r>
      <w:r>
        <w:rPr>
          <w:rFonts w:ascii="Calibri" w:cs="Calibri" w:eastAsia="Calibri" w:hAnsi="Calibri"/>
          <w:color w:val="1F2933"/>
          <w:sz w:val="22"/>
          <w:szCs w:val="22"/>
        </w:rPr>
        <w:t xml:space="preserve">export TEI des pièces de la bibliothèque, compatible avec l'importeur calqué sur DraCor (Fischer et al.), vérifié par aller-retour.</w:t>
      </w:r>
    </w:p>
    <w:p>
      <w:pPr>
        <w:pStyle w:val="ListParagraph"/>
        <w:numPr>
          <w:ilvl w:val="0"/>
          <w:numId w:val="2"/>
        </w:numPr>
        <w:spacing w:after="80" w:line="290"/>
      </w:pPr>
      <w:r>
        <w:rPr>
          <w:rFonts w:ascii="Calibri" w:cs="Calibri" w:eastAsia="Calibri" w:hAnsi="Calibri"/>
          <w:b/>
          <w:bCs/>
          <w:color w:val="1F2933"/>
          <w:sz w:val="22"/>
          <w:szCs w:val="22"/>
        </w:rPr>
        <w:t xml:space="preserve">O-05 : </w:t>
      </w:r>
      <w:r>
        <w:rPr>
          <w:rFonts w:ascii="Calibri" w:cs="Calibri" w:eastAsia="Calibri" w:hAnsi="Calibri"/>
          <w:color w:val="1F2933"/>
          <w:sz w:val="22"/>
          <w:szCs w:val="22"/>
        </w:rPr>
        <w:t xml:space="preserve">GO simulés de toute la conduite, sans aucune sortie réelle ; le jumeau MuJoCo du Reachy Mini est appelé quand son kit est installé, sinon le contrôle reste statique et le rapport le dit.</w:t>
      </w:r>
    </w:p>
    <w:p>
      <w:pPr>
        <w:pStyle w:val="ListParagraph"/>
        <w:numPr>
          <w:ilvl w:val="0"/>
          <w:numId w:val="2"/>
        </w:numPr>
        <w:spacing w:after="80" w:line="290"/>
      </w:pPr>
      <w:r>
        <w:rPr>
          <w:rFonts w:ascii="Calibri" w:cs="Calibri" w:eastAsia="Calibri" w:hAnsi="Calibri"/>
          <w:b/>
          <w:bCs/>
          <w:color w:val="1F2933"/>
          <w:sz w:val="22"/>
          <w:szCs w:val="22"/>
        </w:rPr>
        <w:t xml:space="preserve">O-06 : </w:t>
      </w:r>
      <w:r>
        <w:rPr>
          <w:rFonts w:ascii="Calibri" w:cs="Calibri" w:eastAsia="Calibri" w:hAnsi="Calibri"/>
          <w:color w:val="1F2933"/>
          <w:sz w:val="22"/>
          <w:szCs w:val="22"/>
        </w:rPr>
        <w:t xml:space="preserve">surtitres et audiodescription tracés selon les cinq opérations ; rien n'est diffusé ni exporté sans validation.</w:t>
      </w:r>
    </w:p>
    <w:p>
      <w:pPr>
        <w:pStyle w:val="ListParagraph"/>
        <w:numPr>
          <w:ilvl w:val="0"/>
          <w:numId w:val="2"/>
        </w:numPr>
        <w:spacing w:after="80" w:line="290"/>
      </w:pPr>
      <w:r>
        <w:rPr>
          <w:rFonts w:ascii="Calibri" w:cs="Calibri" w:eastAsia="Calibri" w:hAnsi="Calibri"/>
          <w:b/>
          <w:bCs/>
          <w:color w:val="1F2933"/>
          <w:sz w:val="22"/>
          <w:szCs w:val="22"/>
        </w:rPr>
        <w:t xml:space="preserve">O-07 : </w:t>
      </w:r>
      <w:r>
        <w:rPr>
          <w:rFonts w:ascii="Calibri" w:cs="Calibri" w:eastAsia="Calibri" w:hAnsi="Calibri"/>
          <w:color w:val="1F2933"/>
          <w:sz w:val="22"/>
          <w:szCs w:val="22"/>
        </w:rPr>
        <w:t xml:space="preserve">manifeste conforme à la forme documentée par la Content Authenticity Initiative (assertion c2pa.actions.v2, type de source numérique IPTC) ; sans certificat, un fichier compagnon non signé le déclare en toutes lettres (Content Authenticity Initiative ; C2PA).</w:t>
      </w:r>
    </w:p>
    <w:p>
      <w:pPr>
        <w:pStyle w:val="ListParagraph"/>
        <w:numPr>
          <w:ilvl w:val="0"/>
          <w:numId w:val="2"/>
        </w:numPr>
        <w:spacing w:after="80" w:line="290"/>
      </w:pPr>
      <w:r>
        <w:rPr>
          <w:rFonts w:ascii="Calibri" w:cs="Calibri" w:eastAsia="Calibri" w:hAnsi="Calibri"/>
          <w:b/>
          <w:bCs/>
          <w:color w:val="1F2933"/>
          <w:sz w:val="22"/>
          <w:szCs w:val="22"/>
        </w:rPr>
        <w:t xml:space="preserve">O-08 à O-10 : </w:t>
      </w:r>
      <w:r>
        <w:rPr>
          <w:rFonts w:ascii="Calibri" w:cs="Calibri" w:eastAsia="Calibri" w:hAnsi="Calibri"/>
          <w:color w:val="1F2933"/>
          <w:sz w:val="22"/>
          <w:szCs w:val="22"/>
        </w:rPr>
        <w:t xml:space="preserve">veille Crossref, arXiv et Semantic Scholar avec vérification humaine obligatoire et sortie MLA ; tableau public agrégé à seuil de cinq ; mode pédagogique dont les données ne rejoignent jamais la recherche.</w:t>
      </w:r>
    </w:p>
    <w:p>
      <w:pPr>
        <w:pStyle w:val="ListParagraph"/>
        <w:numPr>
          <w:ilvl w:val="0"/>
          <w:numId w:val="2"/>
        </w:numPr>
        <w:spacing w:after="80" w:line="290"/>
      </w:pPr>
      <w:r>
        <w:rPr>
          <w:rFonts w:ascii="Calibri" w:cs="Calibri" w:eastAsia="Calibri" w:hAnsi="Calibri"/>
          <w:b/>
          <w:bCs/>
          <w:color w:val="1F2933"/>
          <w:sz w:val="22"/>
          <w:szCs w:val="22"/>
        </w:rPr>
        <w:t xml:space="preserve">O-11 et O-12 : </w:t>
      </w:r>
      <w:r>
        <w:rPr>
          <w:rFonts w:ascii="Calibri" w:cs="Calibri" w:eastAsia="Calibri" w:hAnsi="Calibri"/>
          <w:color w:val="1F2933"/>
          <w:sz w:val="22"/>
          <w:szCs w:val="22"/>
        </w:rPr>
        <w:t xml:space="preserve">conduite multi-robots ; voix de synthèse refusée tant que la conduite ne déclare pas la divulgation.</w:t>
      </w:r>
    </w:p>
    <w:p>
      <w:pPr>
        <w:pStyle w:val="Heading1"/>
        <w:spacing w:after="160" w:before="320"/>
      </w:pPr>
      <w:r>
        <w:rPr>
          <w:rFonts w:ascii="Calibri" w:cs="Calibri" w:eastAsia="Calibri" w:hAnsi="Calibri"/>
        </w:rPr>
        <w:t xml:space="preserve">8. Couverture des 58 fonctions</w:t>
      </w:r>
    </w:p>
    <w:p>
      <w:pPr>
        <w:spacing w:after="140" w:line="300"/>
        <w:jc w:val="both"/>
      </w:pPr>
      <w:r>
        <w:rPr>
          <w:rFonts w:ascii="Calibri" w:cs="Calibri" w:eastAsia="Calibri" w:hAnsi="Calibri"/>
          <w:color w:val="1F2933"/>
          <w:sz w:val="22"/>
          <w:szCs w:val="22"/>
        </w:rPr>
        <w:t xml:space="preserve">Le tableau suivant reproduit la table de couverture du code ; la couleur de fond indique l'état (vert : réalisé ; ambre : à éprouver ; rose : conditionné ; gris : hors logiciel).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3300"/>
        <w:gridCol w:w="1700"/>
        <w:gridCol w:w="3560"/>
      </w:tblGrid>
      <w:tr>
        <w:trPr>
          <w:tblHeader/>
        </w:trPr>
        <w:tc>
          <w:tcPr>
            <w:tcW w:type="dxa" w:w="80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ID</w:t>
            </w:r>
          </w:p>
        </w:tc>
        <w:tc>
          <w:tcPr>
            <w:tcW w:type="dxa" w:w="330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Fonction</w:t>
            </w:r>
          </w:p>
        </w:tc>
        <w:tc>
          <w:tcPr>
            <w:tcW w:type="dxa" w:w="170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État</w:t>
            </w:r>
          </w:p>
        </w:tc>
        <w:tc>
          <w:tcPr>
            <w:tcW w:type="dxa" w:w="356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Reste à faire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N-01</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Journal unifié des cinq opérations</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N-02</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Identifiant et métadonnées validés par schéma</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N-03</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Stockage .txt/.json et versionnement Git</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N-04</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Écart de transformation et taux de conservation</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N-05</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Étiquette de provenance et crédit</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N-06</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Export PROV-O</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N-07</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Saisie « de tête » reconstituée</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Chronométrer la saisie (&lt; 30 s) en répétition réelle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N-08</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Catégorie « autre » revue après atelier</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Revue après le premier atelier (P1.4)</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A-01</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Génération multiple, paramètres consignés</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Premier appel réel après l'avis éthique (clés API)</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A-02</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Routeur de sensibilité sans repli (D03)</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A-03</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Sélection motivée</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A-04</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Éditeur de transformation</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A-05</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Verrou du mode atelier</w:t>
            </w:r>
          </w:p>
        </w:tc>
        <w:tc>
          <w:tcPr>
            <w:tcW w:type="dxa" w:w="1700"/>
            <w:tcBorders>
              <w:top w:val="single" w:color="C9CED6" w:sz="4"/>
              <w:left w:val="single" w:color="C9CED6" w:sz="4"/>
              <w:bottom w:val="single" w:color="C9CED6" w:sz="4"/>
              <w:right w:val="single" w:color="C9CED6" w:sz="4"/>
            </w:tcBorders>
            <w:shd w:fill="FBE3E4"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conditionné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Cocher les six critères de mise en service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A-06</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Corpus licencié vérifié mot à mot</w:t>
            </w:r>
          </w:p>
        </w:tc>
        <w:tc>
          <w:tcPr>
            <w:tcW w:type="dxa" w:w="1700"/>
            <w:tcBorders>
              <w:top w:val="single" w:color="C9CED6" w:sz="4"/>
              <w:left w:val="single" w:color="C9CED6" w:sz="4"/>
              <w:bottom w:val="single" w:color="C9CED6" w:sz="4"/>
              <w:right w:val="single" w:color="C9CED6" w:sz="4"/>
            </w:tcBorders>
            <w:shd w:fill="ECEFF3"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hors logiciel</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Vérification mot à mot des extraits d'Amphitryon</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A-07</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Grille de repérage des biais</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A-08</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Paramètres demandés et appliqués</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R-01</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Bibliothèque fermée de gestes</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R-02</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Validation en simulation</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Modèle de simulation de l'AiNex</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R-03</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Couche de sécurité</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Essais matériels consignés</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R-04</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Zone d'exclusion et observateur</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Observateur rémunéré présent</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R-05</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Pont scénique sous GO unique</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Conduite d'essai en salle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R-06</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Mode écho (D09, option A)</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R-07</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Pilotes multi-plateformes</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Validation sur chaque plateforme matérielle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R-08</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Journal relié aux incidents</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S-01</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Rétroaction émotionnelle déclarée</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S-02</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Anonymat, seuil de cinq</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S-03</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Conformité WCAG 2.2 AA</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Tests P3.3 avec des usagers</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S-04</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Provenance selon la condition</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S-05</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Questionnaires intégrés</w:t>
            </w:r>
          </w:p>
        </w:tc>
        <w:tc>
          <w:tcPr>
            <w:tcW w:type="dxa" w:w="1700"/>
            <w:tcBorders>
              <w:top w:val="single" w:color="C9CED6" w:sz="4"/>
              <w:left w:val="single" w:color="C9CED6" w:sz="4"/>
              <w:bottom w:val="single" w:color="C9CED6" w:sz="4"/>
              <w:right w:val="single" w:color="C9CED6" w:sz="4"/>
            </w:tcBorders>
            <w:shd w:fill="FBE3E4"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conditionné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Saisir NE, Godspeed, CSI et le feuillet ; avis éthique ; EFVP</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S-06</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Avis d'information</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Q-01</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Agentivité opératoire</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Q-02</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Triangulation des trois agentivités</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Q-03</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Tests H1 à H4 (plan A.2)</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Exécuter le script R (lme4, pbkrtest, ordinal) sur les données X.2</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Q-04</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Exports reproductibles</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Q-05</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Codage local des entretiens</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G-01</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Consentements et retrait</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G-02</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Verrou de l'avis éthique</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G-03</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Registre des systèmes</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Fiche F-08 (OpenAI) à établir</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G-04</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EFVP tenue à jour</w:t>
            </w:r>
          </w:p>
        </w:tc>
        <w:tc>
          <w:tcPr>
            <w:tcW w:type="dxa" w:w="1700"/>
            <w:tcBorders>
              <w:top w:val="single" w:color="C9CED6" w:sz="4"/>
              <w:left w:val="single" w:color="C9CED6" w:sz="4"/>
              <w:bottom w:val="single" w:color="C9CED6" w:sz="4"/>
              <w:right w:val="single" w:color="C9CED6" w:sz="4"/>
            </w:tcBorders>
            <w:shd w:fill="FBE3E4"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conditionné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Réviser l'EFVP : P1_atelier 1.1, P3_questionnaires, entretiens, surtitres</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G-05</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Aucune décision exclusivement automatisée</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G-06</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Aucune biométrie identifiante</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G-07</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Conservation et destruction</w:t>
            </w:r>
          </w:p>
        </w:tc>
        <w:tc>
          <w:tcPr>
            <w:tcW w:type="dxa" w:w="1700"/>
            <w:tcBorders>
              <w:top w:val="single" w:color="C9CED6" w:sz="4"/>
              <w:left w:val="single" w:color="C9CED6" w:sz="4"/>
              <w:bottom w:val="single" w:color="C9CED6" w:sz="4"/>
              <w:right w:val="single" w:color="C9CED6" w:sz="4"/>
            </w:tcBorders>
            <w:shd w:fill="FBE3E4"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conditionné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Fixer les échéances (gouvernance/conservation.yaml)</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P-01</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Régie et régisseur IA</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P-02</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Inventaire mensuel</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Configurer [pilotage] dossier_projet</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P-03</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Tableau des dépôts</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P-04</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Revue trimestrielle</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O-01</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Répétiteur et consigne graduée</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Consentement à la captation vocale ; traitement local</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O-02</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Variations à deux régimes, validées par juges</w:t>
            </w:r>
          </w:p>
        </w:tc>
        <w:tc>
          <w:tcPr>
            <w:tcW w:type="dxa" w:w="1700"/>
            <w:tcBorders>
              <w:top w:val="single" w:color="C9CED6" w:sz="4"/>
              <w:left w:val="single" w:color="C9CED6" w:sz="4"/>
              <w:bottom w:val="single" w:color="C9CED6" w:sz="4"/>
              <w:right w:val="single" w:color="C9CED6" w:sz="4"/>
            </w:tcBorders>
            <w:shd w:fill="FBE3E4"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conditionné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Étude de juges avant tout usage analytique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O-03</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Analyse dramaturgique et TEI</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Encoder des pièces franco-canadiennes</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O-04</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Descripteurs de mouvement</w:t>
            </w:r>
          </w:p>
        </w:tc>
        <w:tc>
          <w:tcPr>
            <w:tcW w:type="dxa" w:w="1700"/>
            <w:tcBorders>
              <w:top w:val="single" w:color="C9CED6" w:sz="4"/>
              <w:left w:val="single" w:color="C9CED6" w:sz="4"/>
              <w:bottom w:val="single" w:color="C9CED6" w:sz="4"/>
              <w:right w:val="single" w:color="C9CED6" w:sz="4"/>
            </w:tcBorders>
            <w:shd w:fill="FBE3E4"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conditionné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EFVP, consentement exprès, revue de conception</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O-05</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Prévisualisation dans le jumeau</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Installer le SDK Reachy Mini pour le jumeau complet</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O-06</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Surtitres et audiodescription</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O-07</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Justificatifs C2PA</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Certificat de signature et c2patool</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O-08</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Veille bibliographique</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O-09</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Tableau public agrégé</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O-10</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Mode pédagogique É.T.T.</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O-11</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Plusieurs robots par conduite</w:t>
            </w:r>
          </w:p>
        </w:tc>
        <w:tc>
          <w:tcPr>
            <w:tcW w:type="dxa" w:w="1700"/>
            <w:tcBorders>
              <w:top w:val="single" w:color="C9CED6" w:sz="4"/>
              <w:left w:val="single" w:color="C9CED6" w:sz="4"/>
              <w:bottom w:val="single" w:color="C9CED6" w:sz="4"/>
              <w:right w:val="single" w:color="C9CED6" w:sz="4"/>
            </w:tcBorders>
            <w:shd w:fill="FFF4DC"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 à éprouver</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Nouvelle analyse de risques avant usage</w:t>
            </w:r>
          </w:p>
        </w:tc>
      </w:tr>
      <w:tr>
        <w:tc>
          <w:tcPr>
            <w:tcW w:type="dxa" w:w="8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O-12</w:t>
            </w:r>
          </w:p>
        </w:tc>
        <w:tc>
          <w:tcPr>
            <w:tcW w:type="dxa" w:w="33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Voix synthétique divulguée</w:t>
            </w:r>
          </w:p>
        </w:tc>
        <w:tc>
          <w:tcPr>
            <w:tcW w:type="dxa" w:w="1700"/>
            <w:tcBorders>
              <w:top w:val="single" w:color="C9CED6" w:sz="4"/>
              <w:left w:val="single" w:color="C9CED6" w:sz="4"/>
              <w:bottom w:val="single" w:color="C9CED6" w:sz="4"/>
              <w:right w:val="single" w:color="C9CED6" w:sz="4"/>
            </w:tcBorders>
            <w:shd w:fill="E6F4E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réalisé</w:t>
            </w:r>
          </w:p>
        </w:tc>
        <w:tc>
          <w:tcPr>
            <w:tcW w:type="dxa" w:w="35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w:t>
            </w:r>
          </w:p>
        </w:tc>
      </w:tr>
    </w:tbl>
    <w:p>
      <w:pPr>
        <w:spacing w:after="140" w:line="300"/>
        <w:jc w:val="both"/>
      </w:pPr>
      <w:r>
        <w:rPr>
          <w:rFonts w:ascii="Calibri" w:cs="Calibri" w:eastAsia="Calibri" w:hAnsi="Calibri"/>
          <w:color w:val="1F2933"/>
          <w:sz w:val="22"/>
          <w:szCs w:val="22"/>
        </w:rPr>
        <w:t xml:space="preserve"/>
      </w:r>
    </w:p>
    <w:p>
      <w:pPr>
        <w:pStyle w:val="Heading1"/>
        <w:spacing w:after="160" w:before="320"/>
      </w:pPr>
      <w:r>
        <w:rPr>
          <w:rFonts w:ascii="Calibri" w:cs="Calibri" w:eastAsia="Calibri" w:hAnsi="Calibri"/>
        </w:rPr>
        <w:t xml:space="preserve">9. Décisions et actions qui vous reviennent</w:t>
      </w:r>
    </w:p>
    <w:p>
      <w:pPr>
        <w:spacing w:after="140" w:line="300"/>
        <w:jc w:val="both"/>
      </w:pPr>
      <w:r>
        <w:rPr>
          <w:rFonts w:ascii="Calibri" w:cs="Calibri" w:eastAsia="Calibri" w:hAnsi="Calibri"/>
          <w:color w:val="1F2933"/>
          <w:sz w:val="22"/>
          <w:szCs w:val="22"/>
        </w:rPr>
        <w:t xml:space="preserve">(Inférence) Les éléments ci-dessous ne peuvent être tranchés par le logiciel ; ils sont ordonnés selon qu'ils débloquent le plus grand nombre de fonctions.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5860"/>
        <w:gridCol w:w="3000"/>
      </w:tblGrid>
      <w:tr>
        <w:trPr>
          <w:tblHeader/>
        </w:trPr>
        <w:tc>
          <w:tcPr>
            <w:tcW w:type="dxa" w:w="50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w:t>
            </w:r>
          </w:p>
        </w:tc>
        <w:tc>
          <w:tcPr>
            <w:tcW w:type="dxa" w:w="586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Action</w:t>
            </w:r>
          </w:p>
        </w:tc>
        <w:tc>
          <w:tcPr>
            <w:tcW w:type="dxa" w:w="3000"/>
            <w:tcBorders>
              <w:top w:val="single" w:color="C9CED6" w:sz="4"/>
              <w:left w:val="single" w:color="C9CED6" w:sz="4"/>
              <w:bottom w:val="single" w:color="C9CED6" w:sz="4"/>
              <w:right w:val="single" w:color="C9CED6" w:sz="4"/>
            </w:tcBorders>
            <w:shd w:fill="2B3445" w:color="auto" w:val="clear"/>
            <w:tcMar>
              <w:top w:type="dxa" w:w="60"/>
              <w:left w:type="dxa" w:w="100"/>
              <w:bottom w:type="dxa" w:w="60"/>
              <w:right w:type="dxa" w:w="100"/>
            </w:tcMar>
          </w:tcPr>
          <w:p>
            <w:r>
              <w:rPr>
                <w:rFonts w:ascii="Calibri" w:cs="Calibri" w:eastAsia="Calibri" w:hAnsi="Calibri"/>
                <w:b/>
                <w:bCs/>
                <w:color w:val="FFFFFF"/>
                <w:sz w:val="19"/>
                <w:szCs w:val="19"/>
              </w:rPr>
              <w:t xml:space="preserve">Débloque</w:t>
            </w:r>
          </w:p>
        </w:tc>
      </w:tr>
      <w:tr>
        <w:tc>
          <w:tcPr>
            <w:tcW w:type="dxa" w:w="5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1</w:t>
            </w:r>
          </w:p>
        </w:tc>
        <w:tc>
          <w:tcPr>
            <w:tcW w:type="dxa" w:w="58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Consigner l'avis éthique dans gouvernance/etat.yaml (comité, référence, date)</w:t>
            </w:r>
          </w:p>
        </w:tc>
        <w:tc>
          <w:tcPr>
            <w:tcW w:type="dxa" w:w="30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A-05, S-05, séances P3 publiques</w:t>
            </w:r>
          </w:p>
        </w:tc>
      </w:tr>
      <w:tr>
        <w:tc>
          <w:tcPr>
            <w:tcW w:type="dxa" w:w="5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2</w:t>
            </w:r>
          </w:p>
        </w:tc>
        <w:tc>
          <w:tcPr>
            <w:tcW w:type="dxa" w:w="58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Réviser l'EFVP pour atelier P1 1.1, questionnaires P3, entretiens et surtitres</w:t>
            </w:r>
          </w:p>
        </w:tc>
        <w:tc>
          <w:tcPr>
            <w:tcW w:type="dxa" w:w="30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G-04, mode public</w:t>
            </w:r>
          </w:p>
        </w:tc>
      </w:tr>
      <w:tr>
        <w:tc>
          <w:tcPr>
            <w:tcW w:type="dxa" w:w="5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3</w:t>
            </w:r>
          </w:p>
        </w:tc>
        <w:tc>
          <w:tcPr>
            <w:tcW w:type="dxa" w:w="58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Saisir les énoncés NE (Busselle et Bilandzic), Godspeed, CSI et le feuillet G.3 dans questionnaires/*.yaml, après traduction et rétrotraduction</w:t>
            </w:r>
          </w:p>
        </w:tc>
        <w:tc>
          <w:tcPr>
            <w:tcW w:type="dxa" w:w="30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S-05 en mode public</w:t>
            </w:r>
          </w:p>
        </w:tc>
      </w:tr>
      <w:tr>
        <w:tc>
          <w:tcPr>
            <w:tcW w:type="dxa" w:w="5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4</w:t>
            </w:r>
          </w:p>
        </w:tc>
        <w:tc>
          <w:tcPr>
            <w:tcW w:type="dxa" w:w="58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Désigner SI-02 après l'évaluation à l'aveugle — fait le 16 oct. 2026 : Luciole-8B-Instruct-1.1, secours Apertus-8B (config.toml, registre G.5)</w:t>
            </w:r>
          </w:p>
        </w:tc>
        <w:tc>
          <w:tcPr>
            <w:tcW w:type="dxa" w:w="30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Mode atelier</w:t>
            </w:r>
          </w:p>
        </w:tc>
      </w:tr>
      <w:tr>
        <w:tc>
          <w:tcPr>
            <w:tcW w:type="dxa" w:w="5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5</w:t>
            </w:r>
          </w:p>
        </w:tc>
        <w:tc>
          <w:tcPr>
            <w:tcW w:type="dxa" w:w="58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Fixer les échéances de conservation (G.6)</w:t>
            </w:r>
          </w:p>
        </w:tc>
        <w:tc>
          <w:tcPr>
            <w:tcW w:type="dxa" w:w="30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G-07</w:t>
            </w:r>
          </w:p>
        </w:tc>
      </w:tr>
      <w:tr>
        <w:tc>
          <w:tcPr>
            <w:tcW w:type="dxa" w:w="5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6</w:t>
            </w:r>
          </w:p>
        </w:tc>
        <w:tc>
          <w:tcPr>
            <w:tcW w:type="dxa" w:w="58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Établir la fiche fournisseur F-08 (OpenAI) et la version 1.2 de la politique G.5</w:t>
            </w:r>
          </w:p>
        </w:tc>
        <w:tc>
          <w:tcPr>
            <w:tcW w:type="dxa" w:w="30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G-03, SI-08</w:t>
            </w:r>
          </w:p>
        </w:tc>
      </w:tr>
      <w:tr>
        <w:tc>
          <w:tcPr>
            <w:tcW w:type="dxa" w:w="5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7</w:t>
            </w:r>
          </w:p>
        </w:tc>
        <w:tc>
          <w:tcPr>
            <w:tcW w:type="dxa" w:w="58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Installer R (lme4, pbkrtest, ordinal) et, au besoin, le kit Reachy Mini avec MuJoCo</w:t>
            </w:r>
          </w:p>
        </w:tc>
        <w:tc>
          <w:tcPr>
            <w:tcW w:type="dxa" w:w="30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Q-03 de référence, O-05 complet</w:t>
            </w:r>
          </w:p>
        </w:tc>
      </w:tr>
      <w:tr>
        <w:tc>
          <w:tcPr>
            <w:tcW w:type="dxa" w:w="5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8</w:t>
            </w:r>
          </w:p>
        </w:tc>
        <w:tc>
          <w:tcPr>
            <w:tcW w:type="dxa" w:w="586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Renseigner [pilotage] dossier_projet dans config.toml</w:t>
            </w:r>
          </w:p>
        </w:tc>
        <w:tc>
          <w:tcPr>
            <w:tcW w:type="dxa" w:w="3000"/>
            <w:tcBorders>
              <w:top w:val="single" w:color="C9CED6" w:sz="4"/>
              <w:left w:val="single" w:color="C9CED6" w:sz="4"/>
              <w:bottom w:val="single" w:color="C9CED6" w:sz="4"/>
              <w:right w:val="single" w:color="C9CED6" w:sz="4"/>
            </w:tcBorders>
            <w:shd w:fill="F5F7FA" w:color="auto" w:val="clear"/>
            <w:tcMar>
              <w:top w:type="dxa" w:w="60"/>
              <w:left w:type="dxa" w:w="100"/>
              <w:bottom w:type="dxa" w:w="60"/>
              <w:right w:type="dxa" w:w="100"/>
            </w:tcMar>
          </w:tcPr>
          <w:p>
            <w:r>
              <w:rPr>
                <w:rFonts w:ascii="Calibri" w:cs="Calibri" w:eastAsia="Calibri" w:hAnsi="Calibri"/>
                <w:b w:val="false"/>
                <w:bCs w:val="false"/>
                <w:color w:val="1F2933"/>
                <w:sz w:val="18"/>
                <w:szCs w:val="18"/>
              </w:rPr>
              <w:t xml:space="preserve">P-01, P-02</w:t>
            </w:r>
          </w:p>
        </w:tc>
      </w:tr>
      <w:tr>
        <w:tc>
          <w:tcPr>
            <w:tcW w:type="dxa" w:w="5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9</w:t>
            </w:r>
          </w:p>
        </w:tc>
        <w:tc>
          <w:tcPr>
            <w:tcW w:type="dxa" w:w="586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Autoriser, ou non, l'envoi du dépôt vers GitHub et le déploiement Netlify — GitHub : fait le 16 oct. 2026 (dépôt public, historique purgé) ; Netlify : en attente de votre autorisation</w:t>
            </w:r>
          </w:p>
        </w:tc>
        <w:tc>
          <w:tcPr>
            <w:tcW w:type="dxa" w:w="3000"/>
            <w:tcBorders>
              <w:top w:val="single" w:color="C9CED6" w:sz="4"/>
              <w:left w:val="single" w:color="C9CED6" w:sz="4"/>
              <w:bottom w:val="single" w:color="C9CED6" w:sz="4"/>
              <w:right w:val="single" w:color="C9CED6" w:sz="4"/>
            </w:tcBorders>
            <w:tcMar>
              <w:top w:type="dxa" w:w="60"/>
              <w:left w:type="dxa" w:w="100"/>
              <w:bottom w:type="dxa" w:w="60"/>
              <w:right w:type="dxa" w:w="100"/>
            </w:tcMar>
          </w:tcPr>
          <w:p>
            <w:r>
              <w:rPr>
                <w:rFonts w:ascii="Calibri" w:cs="Calibri" w:eastAsia="Calibri" w:hAnsi="Calibri"/>
                <w:b w:val="false"/>
                <w:bCs w:val="false"/>
                <w:color w:val="1F2933"/>
                <w:sz w:val="18"/>
                <w:szCs w:val="18"/>
              </w:rPr>
              <w:t xml:space="preserve">Diffusion du code et des pages</w:t>
            </w:r>
          </w:p>
        </w:tc>
      </w:tr>
    </w:tbl>
    <w:p>
      <w:pPr>
        <w:spacing w:after="140" w:line="300"/>
        <w:jc w:val="both"/>
      </w:pPr>
      <w:r>
        <w:rPr>
          <w:rFonts w:ascii="Calibri" w:cs="Calibri" w:eastAsia="Calibri" w:hAnsi="Calibri"/>
          <w:color w:val="1F2933"/>
          <w:sz w:val="22"/>
          <w:szCs w:val="22"/>
        </w:rPr>
        <w:t xml:space="preserve"/>
      </w:r>
    </w:p>
    <w:p>
      <w:pPr>
        <w:pStyle w:val="Heading1"/>
        <w:keepNext/>
        <w:spacing w:after="160" w:before="320"/>
      </w:pPr>
      <w:r>
        <w:rPr>
          <w:rFonts w:ascii="Calibri" w:cs="Calibri" w:eastAsia="Calibri" w:hAnsi="Calibri"/>
        </w:rPr>
        <w:t xml:space="preserve">10. Révision 2.0.1 : mise en œuvre de l'audit indépendant du 16 octobre 2026</w:t>
      </w:r>
    </w:p>
    <w:p>
      <w:pPr>
        <w:spacing w:after="140" w:line="300"/>
        <w:jc w:val="both"/>
      </w:pPr>
      <w:r>
        <w:rPr>
          <w:rFonts w:ascii="Calibri" w:cs="Calibri" w:eastAsia="Calibri" w:hAnsi="Calibri"/>
          <w:color w:val="1F2933"/>
          <w:sz w:val="22"/>
          <w:szCs w:val="22"/>
        </w:rPr>
        <w:t xml:space="preserve">Un audit indépendant, versé au dossier le 16 octobre 2026, a confronté la plateforme déployée et ses documents de gouvernance ; ses recommandations ont été mises en œuvre le jour même, chantier par chantier, chaque fois sous la forme d'un commit commenté et d'un test automatisé. Il convient toutefois de distinguer, parmi les constats de l'audit, ceux que la vérification a confirmés de ceux qu'elle a infirmés : la navigation « tronquée à deux pages » et les « erreurs d'accès » aux sous-pages de Netlify provenaient d'une lecture du HTML sans exécution du JavaScript, puisque les onze adresses répondaient déjà et que la barre de navigation se construit à l'exécution ; de même, le refus des modèles « :cloud » existait déjà dans le code (verifier_local).</w:t>
      </w:r>
    </w:p>
    <w:p>
      <w:pPr>
        <w:pStyle w:val="ListParagraph"/>
        <w:numPr>
          <w:ilvl w:val="0"/>
          <w:numId w:val="2"/>
        </w:numPr>
        <w:spacing w:after="80" w:line="290"/>
      </w:pPr>
      <w:r>
        <w:rPr>
          <w:rFonts w:ascii="Calibri" w:cs="Calibri" w:eastAsia="Calibri" w:hAnsi="Calibri"/>
          <w:b/>
          <w:bCs/>
          <w:color w:val="1F2933"/>
          <w:sz w:val="22"/>
          <w:szCs w:val="22"/>
        </w:rPr>
        <w:t xml:space="preserve">Affiliation (B-001) : </w:t>
      </w:r>
      <w:r>
        <w:rPr>
          <w:rFonts w:ascii="Calibri" w:cs="Calibri" w:eastAsia="Calibri" w:hAnsi="Calibri"/>
          <w:color w:val="1F2933"/>
          <w:sz w:val="22"/>
          <w:szCs w:val="22"/>
        </w:rPr>
        <w:t xml:space="preserve">mention « chercheur indépendant non affilié et autofinancé » dans le présent guide et dans sept fichiers de code que l'audit n'avait pas relevés (README, tableau public, avis S-06, questionnaire) ; un test de non-régression interdit désormais toute mention d'affiliation dans l'avis au public.</w:t>
      </w:r>
    </w:p>
    <w:p>
      <w:pPr>
        <w:pStyle w:val="ListParagraph"/>
        <w:numPr>
          <w:ilvl w:val="0"/>
          <w:numId w:val="2"/>
        </w:numPr>
        <w:spacing w:after="80" w:line="290"/>
      </w:pPr>
      <w:r>
        <w:rPr>
          <w:rFonts w:ascii="Calibri" w:cs="Calibri" w:eastAsia="Calibri" w:hAnsi="Calibri"/>
          <w:b/>
          <w:bCs/>
          <w:color w:val="1F2933"/>
          <w:sz w:val="22"/>
          <w:szCs w:val="22"/>
        </w:rPr>
        <w:t xml:space="preserve">Dépôt public : </w:t>
      </w:r>
      <w:r>
        <w:rPr>
          <w:rFonts w:ascii="Calibri" w:cs="Calibri" w:eastAsia="Calibri" w:hAnsi="Calibri"/>
          <w:color w:val="1F2933"/>
          <w:sz w:val="22"/>
          <w:szCs w:val="22"/>
        </w:rPr>
        <w:t xml:space="preserve">les documents de travail (partenaire/sources) et les index qui en sont extraits ont été retirés de tout l'historique avant le passage du dépôt en mode public ; ils demeurent sur l'ordinateur de l'équipe, et les trois tests qui en dépendent sont ignorés là où ils manquent.</w:t>
      </w:r>
    </w:p>
    <w:p>
      <w:pPr>
        <w:pStyle w:val="ListParagraph"/>
        <w:numPr>
          <w:ilvl w:val="0"/>
          <w:numId w:val="2"/>
        </w:numPr>
        <w:spacing w:after="80" w:line="290"/>
      </w:pPr>
      <w:r>
        <w:rPr>
          <w:rFonts w:ascii="Calibri" w:cs="Calibri" w:eastAsia="Calibri" w:hAnsi="Calibri"/>
          <w:b/>
          <w:bCs/>
          <w:color w:val="1F2933"/>
          <w:sz w:val="22"/>
          <w:szCs w:val="22"/>
        </w:rPr>
        <w:t xml:space="preserve">Modèle local SI-02 (A-009, A-010, VP-14) : </w:t>
      </w:r>
      <w:r>
        <w:rPr>
          <w:rFonts w:ascii="Calibri" w:cs="Calibri" w:eastAsia="Calibri" w:hAnsi="Calibri"/>
          <w:color w:val="1F2933"/>
          <w:sz w:val="22"/>
          <w:szCs w:val="22"/>
        </w:rPr>
        <w:t xml:space="preserve">Luciole-8B-Instruct-1.1 désigné, Apertus-8B-Instruct-2509 en secours local ; refus des étiquettes « cloud » et « remote » et des entrées qu'Ollama annonce comme distantes ; noms de modèles comparés sans égard à la casse ; jamais de repli vers un service distant (D03).</w:t>
      </w:r>
    </w:p>
    <w:p>
      <w:pPr>
        <w:pStyle w:val="ListParagraph"/>
        <w:numPr>
          <w:ilvl w:val="0"/>
          <w:numId w:val="2"/>
        </w:numPr>
        <w:spacing w:after="80" w:line="290"/>
      </w:pPr>
      <w:r>
        <w:rPr>
          <w:rFonts w:ascii="Calibri" w:cs="Calibri" w:eastAsia="Calibri" w:hAnsi="Calibri"/>
          <w:b/>
          <w:bCs/>
          <w:color w:val="1F2933"/>
          <w:sz w:val="22"/>
          <w:szCs w:val="22"/>
        </w:rPr>
        <w:t xml:space="preserve">Console : </w:t>
      </w:r>
      <w:r>
        <w:rPr>
          <w:rFonts w:ascii="Calibri" w:cs="Calibri" w:eastAsia="Calibri" w:hAnsi="Calibri"/>
          <w:color w:val="1F2933"/>
          <w:sz w:val="22"/>
          <w:szCs w:val="22"/>
        </w:rPr>
        <w:t xml:space="preserve">simulation autonome dans le navigateur (simulateur.js) lorsque le pont local ne répond pas dans les 1,5 s, signalée par un bandeau, sans commande matérielle, sans consignation et sans appel à l'IA ; routes Netlify explicites des onze pages ; en-têtes de sécurité, dont une politique de sécurité du contenu en mode « rapport seulement ».</w:t>
      </w:r>
    </w:p>
    <w:p>
      <w:pPr>
        <w:pStyle w:val="ListParagraph"/>
        <w:numPr>
          <w:ilvl w:val="0"/>
          <w:numId w:val="2"/>
        </w:numPr>
        <w:spacing w:after="80" w:line="290"/>
      </w:pPr>
      <w:r>
        <w:rPr>
          <w:rFonts w:ascii="Calibri" w:cs="Calibri" w:eastAsia="Calibri" w:hAnsi="Calibri"/>
          <w:b/>
          <w:bCs/>
          <w:color w:val="1F2933"/>
          <w:sz w:val="22"/>
          <w:szCs w:val="22"/>
        </w:rPr>
        <w:t xml:space="preserve">Robot virtuel 2.3 : </w:t>
      </w:r>
      <w:r>
        <w:rPr>
          <w:rFonts w:ascii="Calibri" w:cs="Calibri" w:eastAsia="Calibri" w:hAnsi="Calibri"/>
          <w:color w:val="1F2933"/>
          <w:sz w:val="22"/>
          <w:szCs w:val="22"/>
        </w:rPr>
        <w:t xml:space="preserve">intégration de la version 2.2 (70 gestes, 11 poses, 32 degrés de liberté), ancrage plantaire par cinématique inverse à deux segments, phonétisation française des visèmes (digrammes, nasales, lettres muettes, liaisons) ; débit syllabique du répétiteur pondéré par les e caducs.</w:t>
      </w:r>
    </w:p>
    <w:p>
      <w:pPr>
        <w:pStyle w:val="ListParagraph"/>
        <w:numPr>
          <w:ilvl w:val="0"/>
          <w:numId w:val="2"/>
        </w:numPr>
        <w:spacing w:after="80" w:line="290"/>
      </w:pPr>
      <w:r>
        <w:rPr>
          <w:rFonts w:ascii="Calibri" w:cs="Calibri" w:eastAsia="Calibri" w:hAnsi="Calibri"/>
          <w:b/>
          <w:bCs/>
          <w:color w:val="1F2933"/>
          <w:sz w:val="22"/>
          <w:szCs w:val="22"/>
        </w:rPr>
        <w:t xml:space="preserve">Grille des biais (A-07) : </w:t>
      </w:r>
      <w:r>
        <w:rPr>
          <w:rFonts w:ascii="Calibri" w:cs="Calibri" w:eastAsia="Calibri" w:hAnsi="Calibri"/>
          <w:color w:val="1F2933"/>
          <w:sz w:val="22"/>
          <w:szCs w:val="22"/>
        </w:rPr>
        <w:t xml:space="preserve">classeur de référence versionné ; le test de génération, jusque-là ignoré, s'exécute.</w:t>
      </w:r>
    </w:p>
    <w:p>
      <w:pPr>
        <w:pStyle w:val="ListParagraph"/>
        <w:numPr>
          <w:ilvl w:val="0"/>
          <w:numId w:val="2"/>
        </w:numPr>
        <w:spacing w:after="80" w:line="290"/>
      </w:pPr>
      <w:r>
        <w:rPr>
          <w:rFonts w:ascii="Calibri" w:cs="Calibri" w:eastAsia="Calibri" w:hAnsi="Calibri"/>
          <w:b/>
          <w:bCs/>
          <w:color w:val="1F2933"/>
          <w:sz w:val="22"/>
          <w:szCs w:val="22"/>
        </w:rPr>
        <w:t xml:space="preserve">Journaux S04 (B-010) : </w:t>
      </w:r>
      <w:r>
        <w:rPr>
          <w:rFonts w:ascii="Calibri" w:cs="Calibri" w:eastAsia="Calibri" w:hAnsi="Calibri"/>
          <w:color w:val="1F2933"/>
          <w:sz w:val="22"/>
          <w:szCs w:val="22"/>
        </w:rPr>
        <w:t xml:space="preserve">séances S04_001 et S04_002 du 10 octobre closes a posteriori et scellées en SHA-256 (outils/cloture_seance.py), selon le procès-verbal du 16 octobre ; la cause, des compteurs écrits sur disque à la seule clôture, est corrigée, de même que le refus des noms de séquence accentués saisis en forme Unicode NFD.</w:t>
      </w:r>
    </w:p>
    <w:p>
      <w:pPr>
        <w:spacing w:after="140" w:line="300"/>
        <w:jc w:val="both"/>
      </w:pPr>
      <w:r>
        <w:rPr>
          <w:rFonts w:ascii="Calibri" w:cs="Calibri" w:eastAsia="Calibri" w:hAnsi="Calibri"/>
          <w:i/>
          <w:iCs/>
          <w:color w:val="1F2933"/>
          <w:sz w:val="22"/>
          <w:szCs w:val="22"/>
        </w:rPr>
        <w:t xml:space="preserve">(Inférence) </w:t>
      </w:r>
      <w:r>
        <w:rPr>
          <w:rFonts w:ascii="Calibri" w:cs="Calibri" w:eastAsia="Calibri" w:hAnsi="Calibri"/>
          <w:color w:val="1F2933"/>
          <w:sz w:val="22"/>
          <w:szCs w:val="22"/>
        </w:rPr>
        <w:t xml:space="preserve">L'action B-002 se trouve ainsi débloquée pour GitHub, où le dépôt est public et l'intégration continue réussit ; le déploiement de l'interface sur Netlify demeure suspendu à votre autorisation.</w:t>
      </w:r>
    </w:p>
    <w:p>
      <w:pPr>
        <w:pStyle w:val="Heading1"/>
        <w:spacing w:after="160" w:before="320"/>
      </w:pPr>
      <w:r>
        <w:rPr>
          <w:rFonts w:ascii="Calibri" w:cs="Calibri" w:eastAsia="Calibri" w:hAnsi="Calibri"/>
        </w:rPr>
        <w:t xml:space="preserve">11. Limites</w:t>
      </w:r>
    </w:p>
    <w:p>
      <w:pPr>
        <w:pStyle w:val="ListParagraph"/>
        <w:numPr>
          <w:ilvl w:val="0"/>
          <w:numId w:val="2"/>
        </w:numPr>
        <w:spacing w:after="80" w:line="290"/>
      </w:pPr>
      <w:r>
        <w:rPr>
          <w:rFonts w:ascii="Calibri" w:cs="Calibri" w:eastAsia="Calibri" w:hAnsi="Calibri"/>
          <w:color w:val="1F2933"/>
          <w:sz w:val="22"/>
          <w:szCs w:val="22"/>
        </w:rPr>
        <w:t xml:space="preserve">Aucun appel réel aux API Anthropic et OpenAI n'a été fait pendant la livraison (aucune clé dans l'environnement de travail) : les clients sont vérifiés contre des réponses simulées conformes aux formats documentés.</w:t>
      </w:r>
    </w:p>
    <w:p>
      <w:pPr>
        <w:pStyle w:val="ListParagraph"/>
        <w:numPr>
          <w:ilvl w:val="0"/>
          <w:numId w:val="2"/>
        </w:numPr>
        <w:spacing w:after="80" w:line="290"/>
      </w:pPr>
      <w:r>
        <w:rPr>
          <w:rFonts w:ascii="Calibri" w:cs="Calibri" w:eastAsia="Calibri" w:hAnsi="Calibri"/>
          <w:color w:val="1F2933"/>
          <w:sz w:val="22"/>
          <w:szCs w:val="22"/>
        </w:rPr>
        <w:t xml:space="preserve">Aucun robot physique n'a été commandé ; les pilotes ROS 2, MQTT, OSC, HTTP et externes ont été essayés contre des serveurs de test, le pilote Hiwonder par ses trames.</w:t>
      </w:r>
    </w:p>
    <w:p>
      <w:pPr>
        <w:pStyle w:val="ListParagraph"/>
        <w:numPr>
          <w:ilvl w:val="0"/>
          <w:numId w:val="2"/>
        </w:numPr>
        <w:spacing w:after="80" w:line="290"/>
      </w:pPr>
      <w:r>
        <w:rPr>
          <w:rFonts w:ascii="Calibri" w:cs="Calibri" w:eastAsia="Calibri" w:hAnsi="Calibri"/>
          <w:color w:val="1F2933"/>
          <w:sz w:val="22"/>
          <w:szCs w:val="22"/>
        </w:rPr>
        <w:t xml:space="preserve">Le script R n'a pas pu être exécuté dans l'environnement de travail, où R n'est pas installé ; sa syntaxe suit les fonctions documentées des paquets cités, et le premier passage sur vos données devra être vérifié.</w:t>
      </w:r>
    </w:p>
    <w:p>
      <w:pPr>
        <w:pStyle w:val="ListParagraph"/>
        <w:numPr>
          <w:ilvl w:val="0"/>
          <w:numId w:val="2"/>
        </w:numPr>
        <w:spacing w:after="80" w:line="290"/>
      </w:pPr>
      <w:r>
        <w:rPr>
          <w:rFonts w:ascii="Calibri" w:cs="Calibri" w:eastAsia="Calibri" w:hAnsi="Calibri"/>
          <w:color w:val="1F2933"/>
          <w:sz w:val="22"/>
          <w:szCs w:val="22"/>
        </w:rPr>
        <w:t xml:space="preserve">La mention « c2patool » et sa syntaxe d'appel proviennent de mes données d'entraînement et doivent être vérifiées dans la documentation de l'outil avant la première signature.</w:t>
      </w:r>
    </w:p>
    <w:p>
      <w:pPr>
        <w:pStyle w:val="ListParagraph"/>
        <w:numPr>
          <w:ilvl w:val="0"/>
          <w:numId w:val="2"/>
        </w:numPr>
        <w:spacing w:after="80" w:line="290"/>
      </w:pPr>
      <w:r>
        <w:rPr>
          <w:rFonts w:ascii="Calibri" w:cs="Calibri" w:eastAsia="Calibri" w:hAnsi="Calibri"/>
          <w:color w:val="1F2933"/>
          <w:sz w:val="22"/>
          <w:szCs w:val="22"/>
        </w:rPr>
        <w:t xml:space="preserve">La simulation dans le navigateur reproduit le robot simulé du pont ; elle n'éprouve ni le micrologiciel, ni la liaison série ou Wi-Fi, ni la couche de sécurité côté pont.</w:t>
      </w:r>
    </w:p>
    <w:p>
      <w:pPr>
        <w:pStyle w:val="ListParagraph"/>
        <w:numPr>
          <w:ilvl w:val="0"/>
          <w:numId w:val="2"/>
        </w:numPr>
        <w:spacing w:after="80" w:line="290"/>
      </w:pPr>
      <w:r>
        <w:rPr>
          <w:rFonts w:ascii="Calibri" w:cs="Calibri" w:eastAsia="Calibri" w:hAnsi="Calibri"/>
          <w:color w:val="1F2933"/>
          <w:sz w:val="22"/>
          <w:szCs w:val="22"/>
        </w:rPr>
        <w:t xml:space="preserve">L'ancrage plantaire suppose un plateau plan et des segments de jambe fixes ; la phonétisation reste orthographique, sans analyse grammaticale (« les enfants chantent » conserve la terminaison -ent) ni h aspiré.</w:t>
      </w:r>
    </w:p>
    <w:p>
      <w:pPr>
        <w:pStyle w:val="ListParagraph"/>
        <w:numPr>
          <w:ilvl w:val="0"/>
          <w:numId w:val="2"/>
        </w:numPr>
        <w:spacing w:after="80" w:line="290"/>
      </w:pPr>
      <w:r>
        <w:rPr>
          <w:rFonts w:ascii="Calibri" w:cs="Calibri" w:eastAsia="Calibri" w:hAnsi="Calibri"/>
          <w:color w:val="1F2933"/>
          <w:sz w:val="22"/>
          <w:szCs w:val="22"/>
        </w:rPr>
        <w:t xml:space="preserve">La politique de sécurité du contenu n'est pas encore contraignante ; elle le deviendra après une séance d'imitation MediaPipe sans écart signalé dans la console du navigateur.</w:t>
      </w:r>
    </w:p>
    <w:p>
      <w:pPr>
        <w:pStyle w:val="Heading1"/>
        <w:spacing w:after="160" w:before="320"/>
      </w:pPr>
      <w:r>
        <w:rPr>
          <w:rFonts w:ascii="Calibri" w:cs="Calibri" w:eastAsia="Calibri" w:hAnsi="Calibri"/>
        </w:rPr>
        <w:t xml:space="preserve">Ouvrages cités</w:t>
      </w:r>
    </w:p>
    <w:p>
      <w:pPr>
        <w:spacing w:after="120" w:line="280"/>
        <w:ind w:left="720" w:hanging="720"/>
      </w:pPr>
      <w:r>
        <w:rPr>
          <w:rFonts w:ascii="Calibri" w:cs="Calibri" w:eastAsia="Calibri" w:hAnsi="Calibri"/>
          <w:color w:val="1F2933"/>
          <w:sz w:val="21"/>
          <w:szCs w:val="21"/>
        </w:rPr>
        <w:t xml:space="preserve">Busselle, Rick, et Helena Bilandzic. « Measuring Narrative Engagement. » Media Psychology, vol. 12, no 4, 2009, p. 321–347, https://doi.org/10.1080/15213260903287259.</w:t>
      </w:r>
    </w:p>
    <w:p>
      <w:pPr>
        <w:spacing w:after="120" w:line="280"/>
        <w:ind w:left="720" w:hanging="720"/>
      </w:pPr>
      <w:r>
        <w:rPr>
          <w:rFonts w:ascii="Calibri" w:cs="Calibri" w:eastAsia="Calibri" w:hAnsi="Calibri"/>
          <w:color w:val="1F2933"/>
          <w:sz w:val="21"/>
          <w:szCs w:val="21"/>
        </w:rPr>
        <w:t xml:space="preserve">Caron, Guillaume. « Loi 25 : l'enjeu des décisions automatisées. » Raymond Chabot Grant Thornton, 24 oct. 2024, www.rcgt.com/fr/conseils/avis-d-experts/loi-25-enjeu-decisions-automatisees/. Consulté le 11 oct. 2026.</w:t>
      </w:r>
    </w:p>
    <w:p>
      <w:pPr>
        <w:spacing w:after="120" w:line="280"/>
        <w:ind w:left="720" w:hanging="720"/>
      </w:pPr>
      <w:r>
        <w:rPr>
          <w:rFonts w:ascii="Calibri" w:cs="Calibri" w:eastAsia="Calibri" w:hAnsi="Calibri"/>
          <w:color w:val="1F2933"/>
          <w:sz w:val="21"/>
          <w:szCs w:val="21"/>
        </w:rPr>
        <w:t xml:space="preserve">Coalition for Content Provenance and Authenticity (C2PA). Content Credentials: C2PA Technical Specification. Version 2.2, c2pa.org/specifications/specifications/2.2/specs/C2PA_Specification.html. Consulté le 11 oct. 2026.</w:t>
      </w:r>
    </w:p>
    <w:p>
      <w:pPr>
        <w:spacing w:after="120" w:line="280"/>
        <w:ind w:left="720" w:hanging="720"/>
      </w:pPr>
      <w:r>
        <w:rPr>
          <w:rFonts w:ascii="Calibri" w:cs="Calibri" w:eastAsia="Calibri" w:hAnsi="Calibri"/>
          <w:color w:val="1F2933"/>
          <w:sz w:val="21"/>
          <w:szCs w:val="21"/>
        </w:rPr>
        <w:t xml:space="preserve">Commission d'accès à l'information du Québec (CAI). Biométrie : principes à respecter et obligations légales des organisations. Version 2.0, 21 sept. 2022, www.cai.gouv.qc.ca/uploads/pdfs/CAI_GU_Biometrie_Organisations.pdf.</w:t>
      </w:r>
    </w:p>
    <w:p>
      <w:pPr>
        <w:spacing w:after="120" w:line="280"/>
        <w:ind w:left="720" w:hanging="720"/>
      </w:pPr>
      <w:r>
        <w:rPr>
          <w:rFonts w:ascii="Calibri" w:cs="Calibri" w:eastAsia="Calibri" w:hAnsi="Calibri"/>
          <w:color w:val="1F2933"/>
          <w:sz w:val="21"/>
          <w:szCs w:val="21"/>
        </w:rPr>
        <w:t xml:space="preserve">Content Authenticity Initiative. « Writing Assertions and Actions. » CAI Open-Source Documentation, opensource.contentauthenticity.org/docs/manifest/writing/assertions-actions. Consulté le 11 oct. 2026.</w:t>
      </w:r>
    </w:p>
    <w:p>
      <w:pPr>
        <w:spacing w:after="120" w:line="280"/>
        <w:ind w:left="720" w:hanging="720"/>
      </w:pPr>
      <w:r>
        <w:rPr>
          <w:rFonts w:ascii="Calibri" w:cs="Calibri" w:eastAsia="Calibri" w:hAnsi="Calibri"/>
          <w:color w:val="1F2933"/>
          <w:sz w:val="21"/>
          <w:szCs w:val="21"/>
        </w:rPr>
        <w:t xml:space="preserve">Fischer, Frank, et al. « Programmable Corpora: Introducing DraCor, an Infrastructure for the Research on European Drama. » Digital Humanities 2019, Utrecht, 2019, zenodo.org/records/4284002.</w:t>
      </w:r>
    </w:p>
    <w:p>
      <w:pPr>
        <w:spacing w:after="120" w:line="280"/>
        <w:ind w:left="720" w:hanging="720"/>
      </w:pPr>
      <w:r>
        <w:rPr>
          <w:rFonts w:ascii="Calibri" w:cs="Calibri" w:eastAsia="Calibri" w:hAnsi="Calibri"/>
          <w:color w:val="1F2933"/>
          <w:sz w:val="21"/>
          <w:szCs w:val="21"/>
        </w:rPr>
        <w:t xml:space="preserve">Hayes, Andrew F., et Klaus Krippendorff. « Answering the Call for a Standard Reliability Measure for Coding Data. » Communication Methods and Measures, vol. 1, 2007, p. 77–89, www.asc.upenn.edu/sites/default/files/2021-03/Answering%20the%20Call%20for%20a%20Standard%20Reliability%20Measure%20for%20Coding%20Data.pdf.</w:t>
      </w:r>
    </w:p>
    <w:p>
      <w:pPr>
        <w:spacing w:after="120" w:line="280"/>
        <w:ind w:left="720" w:hanging="720"/>
      </w:pPr>
      <w:r>
        <w:rPr>
          <w:rFonts w:ascii="Calibri" w:cs="Calibri" w:eastAsia="Calibri" w:hAnsi="Calibri"/>
          <w:color w:val="1F2933"/>
          <w:sz w:val="21"/>
          <w:szCs w:val="21"/>
        </w:rPr>
        <w:t xml:space="preserve">ISO/IEC. ISO/IEC 42001:2023, Information Technology — Artificial Intelligence — Management System. Organisation internationale de normalisation, déc. 2023.</w:t>
      </w:r>
    </w:p>
    <w:p>
      <w:pPr>
        <w:spacing w:after="120" w:line="280"/>
        <w:ind w:left="720" w:hanging="720"/>
      </w:pPr>
      <w:r>
        <w:rPr>
          <w:rFonts w:ascii="Calibri" w:cs="Calibri" w:eastAsia="Calibri" w:hAnsi="Calibri"/>
          <w:color w:val="1F2933"/>
          <w:sz w:val="21"/>
          <w:szCs w:val="21"/>
        </w:rPr>
        <w:t xml:space="preserve">Kang, Sora, et Joonhwan Lee. « Theatrical Language Processing: Exploring AI-Augmented Improvisational Acting and Scriptwriting with LLMs. » Proceedings of the International Symposium on Electronic/Emerging Art, Séoul, 2025, p. 759–766, https://doi.org/10.23362/KOEN2025.07.25.1.099.</w:t>
      </w:r>
    </w:p>
    <w:p>
      <w:pPr>
        <w:spacing w:after="120" w:line="280"/>
        <w:ind w:left="720" w:hanging="720"/>
      </w:pPr>
      <w:r>
        <w:rPr>
          <w:rFonts w:ascii="Calibri" w:cs="Calibri" w:eastAsia="Calibri" w:hAnsi="Calibri"/>
          <w:color w:val="1F2933"/>
          <w:sz w:val="21"/>
          <w:szCs w:val="21"/>
        </w:rPr>
        <w:t xml:space="preserve">Krippendorff, Klaus. Content Analysis: An Introduction to Its Methodology. 2e éd., Sage, 2004.</w:t>
      </w:r>
    </w:p>
    <w:p>
      <w:pPr>
        <w:spacing w:after="120" w:line="280"/>
        <w:ind w:left="720" w:hanging="720"/>
      </w:pPr>
      <w:r>
        <w:rPr>
          <w:rFonts w:ascii="Calibri" w:cs="Calibri" w:eastAsia="Calibri" w:hAnsi="Calibri"/>
          <w:color w:val="1F2933"/>
          <w:sz w:val="21"/>
          <w:szCs w:val="21"/>
        </w:rPr>
        <w:t xml:space="preserve">Lakens, Daniël. « Equivalence Tests: A Practical Primer for t Tests, Correlations, and Meta-Analyses. » Social Psychological and Personality Science, vol. 8, no 4, 2017, p. 355–362, https://doi.org/10.1177/1948550617697177.</w:t>
      </w:r>
    </w:p>
    <w:p>
      <w:pPr>
        <w:spacing w:after="120" w:line="280"/>
        <w:ind w:left="720" w:hanging="720"/>
      </w:pPr>
      <w:r>
        <w:rPr>
          <w:rFonts w:ascii="Calibri" w:cs="Calibri" w:eastAsia="Calibri" w:hAnsi="Calibri"/>
          <w:color w:val="1F2933"/>
          <w:sz w:val="21"/>
          <w:szCs w:val="21"/>
        </w:rPr>
        <w:t xml:space="preserve">Lebo, Timothy, et al., éditeurs. PROV-O: The PROV Ontology. W3C Recommendation, 30 avr. 2013, www.w3.org/TR/2013/REC-prov-o-20130430/.</w:t>
      </w:r>
    </w:p>
    <w:p>
      <w:pPr>
        <w:spacing w:after="120" w:line="280"/>
        <w:ind w:left="720" w:hanging="720"/>
      </w:pPr>
      <w:r>
        <w:rPr>
          <w:rFonts w:ascii="Calibri" w:cs="Calibri" w:eastAsia="Calibri" w:hAnsi="Calibri"/>
          <w:color w:val="1F2933"/>
          <w:sz w:val="21"/>
          <w:szCs w:val="21"/>
        </w:rPr>
        <w:t xml:space="preserve">Liddell, Torrin M., et John K. Kruschke. « Analyzing Ordinal Data with Metric Models: What Could Possibly Go Wrong? » Journal of Experimental Social Psychology, vol. 79, 2018, p. 328–348, https://doi.org/10.1016/j.jesp.2018.08.009.</w:t>
      </w:r>
    </w:p>
    <w:p>
      <w:pPr>
        <w:spacing w:after="120" w:line="280"/>
        <w:ind w:left="720" w:hanging="720"/>
      </w:pPr>
      <w:r>
        <w:rPr>
          <w:rFonts w:ascii="Calibri" w:cs="Calibri" w:eastAsia="Calibri" w:hAnsi="Calibri"/>
          <w:color w:val="1F2933"/>
          <w:sz w:val="21"/>
          <w:szCs w:val="21"/>
        </w:rPr>
        <w:t xml:space="preserve">McNeish, Daniel, et Laura M. Stapleton. « Modeling Clustered Data with Very Few Clusters. » Multivariate Behavioral Research, vol. 51, no 4, 2016, p. 495–518, https://doi.org/10.1080/00273171.2016.1167008.</w:t>
      </w:r>
    </w:p>
    <w:p>
      <w:pPr>
        <w:spacing w:after="120" w:line="280"/>
        <w:ind w:left="720" w:hanging="720"/>
      </w:pPr>
      <w:r>
        <w:rPr>
          <w:rFonts w:ascii="Calibri" w:cs="Calibri" w:eastAsia="Calibri" w:hAnsi="Calibri"/>
          <w:color w:val="1F2933"/>
          <w:sz w:val="21"/>
          <w:szCs w:val="21"/>
        </w:rPr>
        <w:t xml:space="preserve">Nosek, Brian A., et al. « The Preregistration Revolution. » Proceedings of the National Academy of Sciences, vol. 115, no 11, 2018, p. 2600–2606, https://doi.org/10.1073/pnas.1708274114.</w:t>
      </w:r>
    </w:p>
    <w:p>
      <w:pPr>
        <w:spacing w:after="120" w:line="280"/>
        <w:ind w:left="720" w:hanging="720"/>
      </w:pPr>
      <w:r>
        <w:rPr>
          <w:rFonts w:ascii="Calibri" w:cs="Calibri" w:eastAsia="Calibri" w:hAnsi="Calibri"/>
          <w:color w:val="1F2933"/>
          <w:sz w:val="21"/>
          <w:szCs w:val="21"/>
        </w:rPr>
        <w:t xml:space="preserve">W3C. Web Content Accessibility Guidelines (WCAG) 2.2. W3C Recommendation, 5 oct. 2023, www.w3.org/TR/2023/REC-WCAG22-20231005/.</w:t>
      </w:r>
    </w:p>
    <w:p>
      <w:pPr>
        <w:spacing w:after="140" w:line="300"/>
        <w:jc w:val="both"/>
      </w:pPr>
      <w:r>
        <w:rPr>
          <w:rFonts w:ascii="Calibri" w:cs="Calibri" w:eastAsia="Calibri" w:hAnsi="Calibri"/>
          <w:i/>
          <w:iCs/>
          <w:color w:val="5F6B7A"/>
          <w:sz w:val="20"/>
          <w:szCs w:val="20"/>
        </w:rPr>
        <w:t xml:space="preserve">Note : la pagination de Krippendorff (2004, p. 241–243) provient de la notice « Krippendorff's alpha » de Wikipédia, consultée le 11 oct. 2026 ; elle est à confirmer dans l'ouvrage. Les autres références sont reprises du cahier des fonctions et du plan A.2, où elles avaient été vérifiées, ou ont été consultées en ligne ce jour.</w:t>
      </w:r>
    </w:p>
    <w:p>
      <w:pPr>
        <w:spacing w:after="140" w:line="300"/>
        <w:jc w:val="both"/>
      </w:pPr>
      <w:r>
        <w:rPr>
          <w:rFonts w:ascii="Calibri" w:cs="Calibri" w:eastAsia="Calibri" w:hAnsi="Calibri"/>
          <w:color w:val="1F29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99A2E" w:sz="12"/>
              <w:left w:val="single" w:color="C99A2E" w:sz="12"/>
              <w:bottom w:val="single" w:color="C99A2E" w:sz="12"/>
              <w:right w:val="single" w:color="C99A2E" w:sz="12"/>
            </w:tcBorders>
            <w:shd w:fill="FFF8E6" w:color="auto" w:val="clear"/>
            <w:tcMar>
              <w:top w:type="dxa" w:w="140"/>
              <w:left w:type="dxa" w:w="200"/>
              <w:bottom w:type="dxa" w:w="140"/>
              <w:right w:type="dxa" w:w="200"/>
            </w:tcMar>
          </w:tcPr>
          <w:p>
            <w:pPr>
              <w:spacing w:after="100"/>
            </w:pPr>
            <w:r>
              <w:rPr>
                <w:rFonts w:ascii="Calibri" w:cs="Calibri" w:eastAsia="Calibri" w:hAnsi="Calibri"/>
                <w:b/>
                <w:bCs/>
                <w:color w:val="8A5A00"/>
                <w:sz w:val="24"/>
                <w:szCs w:val="24"/>
              </w:rPr>
              <w:t xml:space="preserve">Encadré final — Conformité ISO/IEC 42001 (livraison de la plateforme)</w:t>
            </w:r>
          </w:p>
          <w:p>
            <w:pPr>
              <w:spacing w:after="80" w:line="280"/>
            </w:pPr>
            <w:r>
              <w:rPr>
                <w:rFonts w:ascii="Calibri" w:cs="Calibri" w:eastAsia="Calibri" w:hAnsi="Calibri"/>
                <w:i/>
                <w:iCs/>
                <w:color w:val="1F2933"/>
                <w:sz w:val="20"/>
                <w:szCs w:val="20"/>
              </w:rPr>
              <w:t xml:space="preserve">Mise en conformité vérifiée le 11 octobre 2026, révisée le 16 octobre 2026</w:t>
            </w:r>
          </w:p>
          <w:p>
            <w:pPr>
              <w:spacing w:after="80" w:line="280"/>
            </w:pPr>
            <w:r>
              <w:rPr>
                <w:rFonts w:ascii="Calibri" w:cs="Calibri" w:eastAsia="Calibri" w:hAnsi="Calibri"/>
                <w:color w:val="1F2933"/>
                <w:sz w:val="21"/>
                <w:szCs w:val="21"/>
              </w:rPr>
              <w:t xml:space="preserve">✅ Gouvernance et pilotage — chaque fonction est rattachée à son code, à son test et à son reste à faire ; les décisions qui reviennent au chercheur sont listées (section 9) ; aucun envoi vers GitHub ou Netlify sans accord ; révision 2.0.1 : audit mis en œuvre, B-001 et B-010 clos, SI-02 désigné, dépôt public purgé des documents de travail.</w:t>
            </w:r>
          </w:p>
          <w:p>
            <w:pPr>
              <w:spacing w:after="80" w:line="280"/>
            </w:pPr>
            <w:r>
              <w:rPr>
                <w:rFonts w:ascii="Calibri" w:cs="Calibri" w:eastAsia="Calibri" w:hAnsi="Calibri"/>
                <w:color w:val="1F2933"/>
                <w:sz w:val="21"/>
                <w:szCs w:val="21"/>
              </w:rPr>
              <w:t xml:space="preserve">✅ Transparence et documentation — sources citées selon MLA 9e ; choix non fixés par le plan A.2 marqués (Inférence) ; limites de la livraison exposées (section 10).</w:t>
            </w:r>
          </w:p>
          <w:p>
            <w:pPr>
              <w:spacing w:after="80" w:line="280"/>
            </w:pPr>
            <w:r>
              <w:rPr>
                <w:rFonts w:ascii="Calibri" w:cs="Calibri" w:eastAsia="Calibri" w:hAnsi="Calibri"/>
                <w:color w:val="1F2933"/>
                <w:sz w:val="21"/>
                <w:szCs w:val="21"/>
              </w:rPr>
              <w:t xml:space="preserve">✅ Gestion des risques — bibliothèque fermée, arrêt d'urgence global, observateur exigé, simulation par défaut, routeur D03 sans repli, verrous G-02 et G-04 codés.</w:t>
            </w:r>
          </w:p>
          <w:p>
            <w:pPr>
              <w:spacing w:after="80" w:line="280"/>
            </w:pPr>
            <w:r>
              <w:rPr>
                <w:rFonts w:ascii="Calibri" w:cs="Calibri" w:eastAsia="Calibri" w:hAnsi="Calibri"/>
                <w:color w:val="1F2933"/>
                <w:sz w:val="21"/>
                <w:szCs w:val="21"/>
              </w:rPr>
              <w:t xml:space="preserve">✅ Responsabilité et imputabilité — journal unifié validé par schéma, versionné et exportable en PROV-O ; manifeste d'empreintes de chaque analyse ; incidents et décisions humaines tracés.</w:t>
            </w:r>
          </w:p>
          <w:p>
            <w:pPr>
              <w:spacing w:after="80" w:line="280"/>
            </w:pPr>
            <w:r>
              <w:rPr>
                <w:rFonts w:ascii="Calibri" w:cs="Calibri" w:eastAsia="Calibri" w:hAnsi="Calibri"/>
                <w:color w:val="1F2933"/>
                <w:sz w:val="21"/>
                <w:szCs w:val="21"/>
              </w:rPr>
              <w:t xml:space="preserve">✅ Éthique et parties prenantes — anonymat des publics (seuil de cinq, ni IP ni témoin), aucune biométrie, consentements révocables, données pédagogiques séparées, interfaces bilingues visant WCAG 2.2 AA.</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F6B7A"/>
        <w:sz w:val="18"/>
        <w:szCs w:val="18"/>
      </w:rPr>
      <w:t xml:space="preserve">Plateforme intégrée ROBO-SCÈNE · v2.0.1 · Sylvain Gagné, Ph. D., chercheur indépendant · page </w:t>
    </w:r>
    <w:r>
      <w:rPr>
        <w:rFonts w:ascii="Calibri" w:cs="Calibri" w:eastAsia="Calibri" w:hAnsi="Calibri"/>
        <w:color w:val="5F6B7A"/>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Calibri" w:cs="Calibri" w:eastAsia="Calibri" w:hAnsi="Calibri"/>
      <w:b/>
      <w:bCs/>
      <w:color w:val="2B3445"/>
      <w:sz w:val="30"/>
      <w:szCs w:val="30"/>
    </w:rPr>
  </w:style>
  <w:style w:type="paragraph" w:styleId="Heading2">
    <w:name w:val="Heading 2"/>
    <w:basedOn w:val="Normal"/>
    <w:next w:val="Normal"/>
    <w:qFormat/>
    <w:pPr>
      <w:spacing w:after="120" w:before="240"/>
      <w:outlineLvl w:val="1"/>
    </w:pPr>
    <w:rPr>
      <w:rFonts w:ascii="Calibri" w:cs="Calibri" w:eastAsia="Calibri" w:hAnsi="Calibri"/>
      <w:b/>
      <w:bCs/>
      <w:color w:val="8A5A00"/>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la plateforme intégrée ROBO-SCÈNE v2.0</dc:title>
  <dc:creator>Sylvain Gagné</dc:creator>
  <cp:lastModifiedBy>Un-named</cp:lastModifiedBy>
  <cp:revision>1</cp:revision>
  <dcterms:created xsi:type="dcterms:W3CDTF">2026-10-11T21:18:09.092Z</dcterms:created>
  <dcterms:modified xsi:type="dcterms:W3CDTF">2026-10-11T21:18:09.092Z</dcterms:modified>
</cp:coreProperties>
</file>

<file path=docProps/custom.xml><?xml version="1.0" encoding="utf-8"?>
<Properties xmlns="http://schemas.openxmlformats.org/officeDocument/2006/custom-properties" xmlns:vt="http://schemas.openxmlformats.org/officeDocument/2006/docPropsVTypes"/>
</file>