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b/>
          <w:bCs/>
          <w:color w:val="8A5A00"/>
          <w:sz w:val="18"/>
          <w:szCs w:val="18"/>
        </w:rPr>
        <w:t xml:space="preserve">ROBO-SCÈNE 2026 · GUIDE TECHNIQUE</w:t>
      </w:r>
    </w:p>
    <w:p>
      <w:pPr>
        <w:spacing w:after="100"/>
      </w:pPr>
      <w:r>
        <w:rPr>
          <w:rFonts w:ascii="Cambria" w:cs="Cambria" w:eastAsia="Cambria" w:hAnsi="Cambria"/>
          <w:b/>
          <w:bCs/>
          <w:color w:val="1F2B3A"/>
          <w:sz w:val="36"/>
          <w:szCs w:val="36"/>
        </w:rPr>
        <w:t xml:space="preserve">Guide des mains à cinq doigts du robot virtuel</w:t>
      </w:r>
    </w:p>
    <w:p>
      <w:pPr>
        <w:spacing w:after="120" w:line="288"/>
        <w:jc w:val="both"/>
      </w:pPr>
      <w:r>
        <w:rPr>
          <w:rFonts w:ascii="Cambria" w:cs="Cambria" w:eastAsia="Cambria" w:hAnsi="Cambria"/>
          <w:b/>
          <w:bCs/>
          <w:sz w:val="22"/>
          <w:szCs w:val="22"/>
        </w:rPr>
        <w:t xml:space="preserve">Auteur : </w:t>
      </w:r>
      <w:r>
        <w:rPr>
          <w:rFonts w:ascii="Cambria" w:cs="Cambria" w:eastAsia="Cambria" w:hAnsi="Cambria"/>
          <w:sz w:val="22"/>
          <w:szCs w:val="22"/>
        </w:rPr>
        <w:t xml:space="preserve">Sylvain Gagné, Ph. D., chercheur indépendant non affilié et autofinancé (IA, robotique et théâtre)</w:t>
      </w:r>
    </w:p>
    <w:p>
      <w:pPr>
        <w:spacing w:after="120" w:line="288"/>
        <w:jc w:val="both"/>
      </w:pPr>
      <w:r>
        <w:rPr>
          <w:rFonts w:ascii="Cambria" w:cs="Cambria" w:eastAsia="Cambria" w:hAnsi="Cambria"/>
          <w:b/>
          <w:bCs/>
          <w:sz w:val="22"/>
          <w:szCs w:val="22"/>
        </w:rPr>
        <w:t xml:space="preserve">Version et date : </w:t>
      </w:r>
      <w:r>
        <w:rPr>
          <w:rFonts w:ascii="Cambria" w:cs="Cambria" w:eastAsia="Cambria" w:hAnsi="Cambria"/>
          <w:sz w:val="22"/>
          <w:szCs w:val="22"/>
        </w:rPr>
        <w:t xml:space="preserve">1.1 — 25 octobre 2026 (remplace la version 1.0 du même jour ; code au commit 919f89d)</w:t>
      </w:r>
    </w:p>
    <w:p>
      <w:pPr>
        <w:spacing w:after="120" w:line="288"/>
        <w:jc w:val="both"/>
      </w:pPr>
      <w:r>
        <w:rPr>
          <w:rFonts w:ascii="Cambria" w:cs="Cambria" w:eastAsia="Cambria" w:hAnsi="Cambria"/>
          <w:b/>
          <w:bCs/>
          <w:sz w:val="22"/>
          <w:szCs w:val="22"/>
        </w:rPr>
        <w:t xml:space="preserve">Objet : </w:t>
      </w:r>
      <w:r>
        <w:rPr>
          <w:rFonts w:ascii="Cambria" w:cs="Cambria" w:eastAsia="Cambria" w:hAnsi="Cambria"/>
          <w:sz w:val="22"/>
          <w:szCs w:val="22"/>
        </w:rPr>
        <w:t xml:space="preserve">ce guide décrit les deux mains à cinq doigts ajoutées au robot virtuel de la plateforme ROBO-SCÈNE à la demande du 25 octobre 2026 : leur anatomie, la boucle qui relie la perception, la force et le mouvement, les postures, les prises, les accessoires, le toucher, les commandes écrites et vocales, l'onglet « Mains » de la page Robot virtuel, le lien avec la pince du TonyPi Pro, les validations et les limites. Toutes les valeurs des tableaux sont produites par le code lui-même (fichier web/avatar/mains.js), au moment de la génération du document.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C2CF" w:sz="4"/>
              <w:left w:val="single" w:color="B8C2CF" w:sz="4"/>
              <w:bottom w:val="single" w:color="B8C2CF" w:sz="4"/>
              <w:right w:val="single" w:color="B8C2CF" w:sz="4"/>
            </w:tcBorders>
            <w:shd w:fill="EEF2F6" w:color="auto" w:val="clear"/>
            <w:tcMar>
              <w:top w:type="dxa" w:w="120"/>
              <w:left w:type="dxa" w:w="160"/>
              <w:bottom w:type="dxa" w:w="120"/>
              <w:right w:type="dxa" w:w="160"/>
            </w:tcMar>
          </w:tcPr>
          <w:p>
            <w:pPr>
              <w:spacing w:after="100"/>
            </w:pPr>
            <w:r>
              <w:rPr>
                <w:rFonts w:ascii="Cambria" w:cs="Cambria" w:eastAsia="Cambria" w:hAnsi="Cambria"/>
                <w:b/>
                <w:bCs/>
                <w:color w:val="8A5A00"/>
                <w:sz w:val="22"/>
                <w:szCs w:val="22"/>
              </w:rPr>
              <w:t xml:space="preserve">Convention de lecture</w:t>
            </w:r>
          </w:p>
          <w:p>
            <w:pPr>
              <w:spacing w:after="100" w:line="276"/>
              <w:jc w:val="both"/>
            </w:pPr>
            <w:r>
              <w:rPr>
                <w:rFonts w:ascii="Cambria" w:cs="Cambria" w:eastAsia="Cambria" w:hAnsi="Cambria"/>
                <w:sz w:val="20"/>
                <w:szCs w:val="20"/>
              </w:rPr>
              <w:t xml:space="preserve">Les affirmations appuyées sur la littérature portent une citation entre parenthèses (norme MLA, 9e édition) ; les ouvrages cités figurent à la fin. Les valeurs de conception, plausibles mais non mesurées sur un humain, sont signalées par la mention (Inférence) ; elles se règlent dans le code.</w:t>
            </w:r>
          </w:p>
          <w:p>
            <w:pPr>
              <w:spacing w:after="100" w:line="276"/>
              <w:jc w:val="both"/>
            </w:pPr>
            <w:r>
              <w:rPr>
                <w:rFonts w:ascii="Cambria" w:cs="Cambria" w:eastAsia="Cambria" w:hAnsi="Cambria"/>
                <w:sz w:val="20"/>
                <w:szCs w:val="20"/>
              </w:rPr>
              <w:t xml:space="preserve">Repère canonique de la main, identique pour les deux mains : u vers la paume, d vers le bout des doigts, w vers le pouce. La main droite est l'image miroir de la gauche au rendu. Angles en degrés, flexion positive vers la paume ; forces en newtons (N), pressions en kilopascals (kPa).</w:t>
            </w:r>
          </w:p>
        </w:tc>
      </w:tr>
    </w:tbl>
    <w:p>
      <w:pPr>
        <w:spacing w:after="120"/>
      </w:pPr>
    </w:p>
    <w:p>
      <w:pPr>
        <w:pStyle w:val="Heading1"/>
        <w:keepNext/>
        <w:spacing w:after="120" w:before="280"/>
      </w:pPr>
      <w:r>
        <w:rPr>
          <w:rFonts w:ascii="Cambria" w:cs="Cambria" w:eastAsia="Cambria" w:hAnsi="Cambria"/>
          <w:b/>
          <w:bCs/>
          <w:color w:val="1F2B3A"/>
          <w:sz w:val="28"/>
          <w:szCs w:val="28"/>
        </w:rPr>
        <w:t xml:space="preserve">1. Portée et choix de conception</w:t>
      </w:r>
    </w:p>
    <w:p>
      <w:pPr>
        <w:spacing w:after="120" w:line="288"/>
        <w:jc w:val="both"/>
      </w:pPr>
      <w:r>
        <w:rPr>
          <w:rFonts w:ascii="Cambria" w:cs="Cambria" w:eastAsia="Cambria" w:hAnsi="Cambria"/>
          <w:sz w:val="22"/>
          <w:szCs w:val="22"/>
        </w:rPr>
        <w:t xml:space="preserve">Les choix de portée ont été arrêtés avec le chercheur avant l'écriture du code : la main est d'abord celle du robot virtuel (le TonyPi Pro réel ne possède qu'une pince à un degré de liberté, qui reçoit la fermeture globale de la main) ; les objets manipulés sont des accessoires de scène, le corps propre du robot et un partenaire de jeu ; la perception est un toucher simulé (capteurs sur les phalanges et la paume, carte de pression) ; la commande passe par la voix et l'écrit, comme le reste du robot.</w:t>
      </w:r>
    </w:p>
    <w:p>
      <w:pPr>
        <w:spacing w:after="120" w:line="288"/>
        <w:jc w:val="both"/>
      </w:pPr>
      <w:r>
        <w:rPr>
          <w:rFonts w:ascii="Cambria" w:cs="Cambria" w:eastAsia="Cambria" w:hAnsi="Cambria"/>
          <w:sz w:val="22"/>
          <w:szCs w:val="22"/>
        </w:rPr>
        <w:t xml:space="preserve">Le module est pur (sans dépendance au navigateur ni au moteur 3D) et testé sous Node ; le rendu (humanoide.js), la boucle d'animation (animation.js), l'interprète des consignes (directives.js), la page (app.js, avatar.html) et la validation du pont (bridge/partenaire/avatar.py) s'y branchent.</w:t>
      </w:r>
    </w:p>
    <w:p>
      <w:pPr>
        <w:pStyle w:val="Heading1"/>
        <w:keepNext/>
        <w:spacing w:after="120" w:before="280"/>
      </w:pPr>
      <w:r>
        <w:rPr>
          <w:rFonts w:ascii="Cambria" w:cs="Cambria" w:eastAsia="Cambria" w:hAnsi="Cambria"/>
          <w:b/>
          <w:bCs/>
          <w:color w:val="1F2B3A"/>
          <w:sz w:val="28"/>
          <w:szCs w:val="28"/>
        </w:rPr>
        <w:t xml:space="preserve">2. Fondements</w:t>
      </w:r>
    </w:p>
    <w:p>
      <w:pPr>
        <w:spacing w:after="120" w:line="288"/>
        <w:jc w:val="both"/>
      </w:pPr>
      <w:r>
        <w:rPr>
          <w:rFonts w:ascii="Cambria" w:cs="Cambria" w:eastAsia="Cambria" w:hAnsi="Cambria"/>
          <w:sz w:val="22"/>
          <w:szCs w:val="22"/>
        </w:rPr>
        <w:t xml:space="preserve">Quatre résultats de la littérature structurent le modèle. Le contrôle de la préhension règle la force de serrage sur le poids de l'objet et sur le frottement entre la peau et sa surface, avec une marge de sécurité propre à chaque personne (Westling et Johansson 277-84). Un glissement détecté par les afférences tactiles des doigts déclenche une hausse de la force de serrage après une latence de 74 ± 9 ms (Johansson et Westling 141-54). Les prises humaines se classent en 33 types, regroupés selon la puissance, l'opposition (pulpe, paume, côté) et la position du pouce (Feix et al. 66-77). En animation, l'angle de la dernière articulation d'un doigt peut être lié à celui de l'avant-dernière par la relation q4 = 2/3 q3, mesurée sur plusieurs sujets (Rijpkema et Girard 339-48).</w:t>
      </w:r>
    </w:p>
    <w:p>
      <w:pPr>
        <w:spacing w:after="120" w:line="288"/>
        <w:jc w:val="both"/>
      </w:pPr>
      <w:r>
        <w:rPr>
          <w:rFonts w:ascii="Cambria" w:cs="Cambria" w:eastAsia="Cambria" w:hAnsi="Cambria"/>
          <w:sz w:val="22"/>
          <w:szCs w:val="22"/>
        </w:rPr>
        <w:t xml:space="preserve">Deux résultats complètent ce socle. Un doigt qui produit une force entraîne involontairement ses voisins, effet nommé « asservissement » (enslaving) et plus marqué entre doigts voisins (Zatsiorsky et al. 187-95) ; les postures de la main pour saisir 57 objets imaginés se résument largement à deux composantes principales, qui expliquent plus de 80 % de la variance (Santello et al. 10105-15). Le modèle n'implante pas ces synergies comme telles ; il en retient la coordination entre doigts, par l'asservissement et par des postures prédéfinies.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4560"/>
        <w:gridCol w:w="2100"/>
      </w:tblGrid>
      <w:tr>
        <w:trPr>
          <w:cantSplit/>
          <w:tblHeader/>
        </w:trPr>
        <w:tc>
          <w:tcPr>
            <w:tcW w:type="dxa" w:w="2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Principe</w:t>
            </w:r>
          </w:p>
        </w:tc>
        <w:tc>
          <w:tcPr>
            <w:tcW w:type="dxa" w:w="4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Mise en œuvre dans le code</w:t>
            </w:r>
          </w:p>
        </w:tc>
        <w:tc>
          <w:tcPr>
            <w:tcW w:type="dxa" w:w="21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Source</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Force de serrage réglée sur la charge et le frottement, avec marge</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 ≥ m (g + a) / (2 μ), multipliée par (1 + marge de la manière), plafonnée sous le seuil de dommage de l'objet</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Westling et Johansson</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Réflexe de glissement</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marge relevée de 60 % (Inférence) 74 ms après le début du glissement</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Johansson et Westling</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Types de prise</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 prises : cylindrique, sphérique, crochet, pince fine, tripode, latérale, palmaire, poignée de main</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Feix et al.</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Couplage IPD-IPP</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IPD = 2/3 IPP dans toutes les postures, sauf si la phalange distale touche l'objet</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Rijpkema et Girard</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Asservissement des doigts voisins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coefficients 0,06 (index-majeur) et 0,12 (majeur-annulaire, annulaire-auriculaire) (Inférence : réduits pour garder la posture lisible)</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Zatsiorsky et al.</w:t>
            </w:r>
          </w:p>
        </w:tc>
      </w:tr>
      <w:tr>
        <w:trPr>
          <w:cantSplit/>
        </w:trPr>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Amplitudes articulaires</w:t>
            </w:r>
          </w:p>
        </w:tc>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bornes de chaque articulation (section 3)</w:t>
            </w:r>
          </w:p>
        </w:tc>
        <w:tc>
          <w:tcPr>
            <w:tcW w:type="dxa" w:w="2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Eaton ; Physiotutors</w:t>
            </w:r>
          </w:p>
        </w:tc>
      </w:tr>
    </w:tbl>
    <w:p>
      <w:pPr>
        <w:spacing w:after="60"/>
      </w:pPr>
    </w:p>
    <w:p>
      <w:pPr>
        <w:pStyle w:val="Heading1"/>
        <w:keepNext/>
        <w:spacing w:after="120" w:before="280"/>
      </w:pPr>
      <w:r>
        <w:rPr>
          <w:rFonts w:ascii="Cambria" w:cs="Cambria" w:eastAsia="Cambria" w:hAnsi="Cambria"/>
          <w:b/>
          <w:bCs/>
          <w:color w:val="1F2B3A"/>
          <w:sz w:val="28"/>
          <w:szCs w:val="28"/>
        </w:rPr>
        <w:t xml:space="preserve">3. Anatomie de la main virtuelle</w:t>
      </w:r>
    </w:p>
    <w:p>
      <w:pPr>
        <w:spacing w:after="120" w:line="288"/>
        <w:jc w:val="both"/>
      </w:pPr>
      <w:r>
        <w:rPr>
          <w:rFonts w:ascii="Cambria" w:cs="Cambria" w:eastAsia="Cambria" w:hAnsi="Cambria"/>
          <w:sz w:val="22"/>
          <w:szCs w:val="22"/>
        </w:rPr>
        <w:t xml:space="preserve">Chaque main compte 20 articulations commandées : quatre par doigt long (métacarpo-phalangienne, écartement, interphalangiennes proximale et distale) et quatre au pouce (opposition et abduction de la trapézo-métacarpienne, métacarpo-phalangienne, interphalangienne). Les phalanges sont des capsules de 8,2 mm de rayon (contact) ; la paume mesure 8,8 × 7,4 × 2,8 cm. Les bornes reprennent les valeurs cliniques usuelles : flexion métacarpo-phalangienne de 85 à 90°, interphalangienne proximale de 100 à 115°, distale de 80 à 90°, écartement de 20 à 30° ; pouce : métacarpo-phalangienne de 50 à 55°, interphalangienne de 80 à 90° (Physiotutors ; « Normal Range of Motion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60"/>
        <w:gridCol w:w="1600"/>
        <w:gridCol w:w="1600"/>
        <w:gridCol w:w="1600"/>
      </w:tblGrid>
      <w:tr>
        <w:trPr>
          <w:cantSplit/>
          <w:tblHeader/>
        </w:trPr>
        <w:tc>
          <w:tcPr>
            <w:tcW w:type="dxa" w:w="4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Articulation</w:t>
            </w:r>
          </w:p>
        </w:tc>
        <w:tc>
          <w:tcPr>
            <w:tcW w:type="dxa" w:w="1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Minimum</w:t>
            </w:r>
          </w:p>
        </w:tc>
        <w:tc>
          <w:tcPr>
            <w:tcW w:type="dxa" w:w="1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Maximum</w:t>
            </w:r>
          </w:p>
        </w:tc>
        <w:tc>
          <w:tcPr>
            <w:tcW w:type="dxa" w:w="1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Repos</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 opposition (trapézo-métacarpienne)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 abduction palmaire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22°</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 métacarpo-phalangienne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55°</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 interphalangienne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 métacarpo-phalangienne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14°</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 écartement</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 interphalangienne proximale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105°</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w:t>
            </w:r>
          </w:p>
        </w:tc>
      </w:tr>
      <w:tr>
        <w:trPr>
          <w:cantSplit/>
        </w:trPr>
        <w:tc>
          <w:tcPr>
            <w:tcW w:type="dxa" w:w="4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 interphalangienne distale</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80°</w:t>
            </w:r>
          </w:p>
        </w:tc>
        <w:tc>
          <w:tcPr>
            <w:tcW w:type="dxa" w:w="1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12°</w:t>
            </w:r>
          </w:p>
        </w:tc>
      </w:tr>
    </w:tbl>
    <w:p>
      <w:pPr>
        <w:spacing w:after="60"/>
      </w:pPr>
    </w:p>
    <w:p>
      <w:pPr>
        <w:spacing w:after="120" w:line="288"/>
        <w:jc w:val="both"/>
      </w:pPr>
      <w:r>
        <w:rPr>
          <w:rFonts w:ascii="Cambria" w:cs="Cambria" w:eastAsia="Cambria" w:hAnsi="Cambria"/>
          <w:sz w:val="22"/>
          <w:szCs w:val="22"/>
        </w:rPr>
        <w:t xml:space="preserve">Le majeur, l'annulaire et l'auriculaire ont les mêmes bornes que l'index ; leurs angles de repos croissent vers l'auriculaire, comme dans une main relâchée. Les longueurs des phalanges (index 40, 23 et 19 mm ; majeur 44, 27 et 20 mm ; pouce 46, 33 et 27 mm) sont des valeurs de conception à l'échelle d'un adulte (Inférence). Le poignet et l'avant-bras appartiennent au corps du robot (section 3.1).</w:t>
      </w:r>
    </w:p>
    <w:p>
      <w:pPr>
        <w:pStyle w:val="Heading2"/>
        <w:keepNext/>
        <w:spacing w:after="100" w:before="220"/>
      </w:pPr>
      <w:r>
        <w:rPr>
          <w:rFonts w:ascii="Cambria" w:cs="Cambria" w:eastAsia="Cambria" w:hAnsi="Cambria"/>
          <w:b/>
          <w:bCs/>
          <w:color w:val="1F2B3A"/>
          <w:sz w:val="24"/>
          <w:szCs w:val="24"/>
        </w:rPr>
        <w:t xml:space="preserve">3.1 Poignet et avant-bras (version 1.1)</w:t>
      </w:r>
    </w:p>
    <w:p>
      <w:pPr>
        <w:spacing w:after="120" w:line="288"/>
        <w:jc w:val="both"/>
      </w:pPr>
      <w:r>
        <w:rPr>
          <w:rFonts w:ascii="Cambria" w:cs="Cambria" w:eastAsia="Cambria" w:hAnsi="Cambria"/>
          <w:sz w:val="22"/>
          <w:szCs w:val="22"/>
        </w:rPr>
        <w:t xml:space="preserve">Le poignet a les trois mouvements d'un poignet humain, dans les amplitudes usuelles : flexion vers la paume jusqu'à 85° et extension jusqu'à 75°, inclinaison radiale jusqu'à 20° et cubitale jusqu'à 40°, rotation de l'avant-bras de 90° en pronation et en supination (Physiotutors). Ce sont des degrés de liberté du corps (poignet_x.flexion, poignet_x.deviation, poignet_x.rotation), appliqués dans cet ordre : rotation de l'avant-bras, puis flexion, puis inclinaison, dans le repère de la main ; la cinématique et les contacts des doigts, calculés dans le repère de la main, n'en dépendent pas. Bras tendu devant soi, « paume vers le haut » donne une normale palmaire dirigée vers le haut, ce que vérifie un test automatisé sur le rendu.</w:t>
      </w:r>
    </w:p>
    <w:p>
      <w:pPr>
        <w:spacing w:after="120" w:line="288"/>
        <w:jc w:val="both"/>
      </w:pPr>
      <w:r>
        <w:rPr>
          <w:rFonts w:ascii="Cambria" w:cs="Cambria" w:eastAsia="Cambria" w:hAnsi="Cambria"/>
          <w:sz w:val="22"/>
          <w:szCs w:val="22"/>
        </w:rPr>
        <w:t xml:space="preserve">Les consignes « paume vers le haut », « paumes vers le bas », « étends le poignet », « incline le poignet vers le pouce », « tourne le poignet » et « roule les poignets » (cercles des deux poignets) les commandent ; à la souris, glisser sur la main la fléchit ou l'incline, et avec Maj ferme les doigts ou tourne l'avant-bras.</w:t>
      </w:r>
    </w:p>
    <w:p>
      <w:pPr>
        <w:pStyle w:val="Heading2"/>
        <w:keepNext/>
        <w:spacing w:after="100" w:before="220"/>
      </w:pPr>
      <w:r>
        <w:rPr>
          <w:rFonts w:ascii="Cambria" w:cs="Cambria" w:eastAsia="Cambria" w:hAnsi="Cambria"/>
          <w:b/>
          <w:bCs/>
          <w:color w:val="1F2B3A"/>
          <w:sz w:val="24"/>
          <w:szCs w:val="24"/>
        </w:rPr>
        <w:t xml:space="preserve">3.2 Mains du corps humain (version 1.1)</w:t>
      </w:r>
    </w:p>
    <w:p>
      <w:pPr>
        <w:spacing w:after="120" w:line="288"/>
        <w:jc w:val="both"/>
      </w:pPr>
      <w:r>
        <w:rPr>
          <w:rFonts w:ascii="Cambria" w:cs="Cambria" w:eastAsia="Cambria" w:hAnsi="Cambria"/>
          <w:sz w:val="22"/>
          <w:szCs w:val="22"/>
        </w:rPr>
        <w:t xml:space="preserve">Dans le style « humain » du robot, la peau des mains d'un corps MakeHuman (licence CC0) suit les phalanges du modèle : chacune des quinze phalanges de chaque main est un os de l'habillage, dont la position et le repère (direction du segment et normale de la paume) sont recalculés à chaque image à partir de la cinématique de ce module. Le bout du majeur de la peau reste à moins de deux centimètres de celui du modèle, au repos, poing fermé et bras levé (test automatisé). Les contacts, les forces et les capteurs restent ceux du modèle : la peau humaine n'est qu'un rendu.</w:t>
      </w:r>
    </w:p>
    <w:p>
      <w:pPr>
        <w:pStyle w:val="Heading1"/>
        <w:keepNext/>
        <w:spacing w:after="120" w:before="280"/>
      </w:pPr>
      <w:r>
        <w:rPr>
          <w:rFonts w:ascii="Cambria" w:cs="Cambria" w:eastAsia="Cambria" w:hAnsi="Cambria"/>
          <w:b/>
          <w:bCs/>
          <w:color w:val="1F2B3A"/>
          <w:sz w:val="28"/>
          <w:szCs w:val="28"/>
        </w:rPr>
        <w:t xml:space="preserve">4. La boucle perception-force-mouvement</w:t>
      </w:r>
    </w:p>
    <w:p>
      <w:pPr>
        <w:spacing w:after="120" w:line="288"/>
        <w:jc w:val="both"/>
      </w:pPr>
      <w:r>
        <w:rPr>
          <w:rFonts w:ascii="Cambria" w:cs="Cambria" w:eastAsia="Cambria" w:hAnsi="Cambria"/>
          <w:sz w:val="22"/>
          <w:szCs w:val="22"/>
        </w:rPr>
        <w:t xml:space="preserve">À chaque image (environ 60 par seconde), chaque main exécute trois étapes dans cet ordre.</w:t>
      </w:r>
    </w:p>
    <w:p>
      <w:pPr>
        <w:pStyle w:val="ListParagraph"/>
        <w:numPr>
          <w:ilvl w:val="0"/>
          <w:numId w:val="2"/>
        </w:numPr>
        <w:spacing w:after="60" w:line="288"/>
        <w:jc w:val="both"/>
      </w:pPr>
      <w:r>
        <w:rPr>
          <w:rFonts w:ascii="Cambria" w:cs="Cambria" w:eastAsia="Cambria" w:hAnsi="Cambria"/>
          <w:b/>
          <w:bCs/>
          <w:sz w:val="22"/>
          <w:szCs w:val="22"/>
        </w:rPr>
        <w:t xml:space="preserve">Mouvement. </w:t>
      </w:r>
      <w:r>
        <w:rPr>
          <w:rFonts w:ascii="Cambria" w:cs="Cambria" w:eastAsia="Cambria" w:hAnsi="Cambria"/>
          <w:sz w:val="22"/>
          <w:szCs w:val="22"/>
        </w:rPr>
        <w:t xml:space="preserve">Chaque articulation suit sa cible par un premier ordre (constante de temps 80 ms) à vitesse bornée (300°/s, ralentie par une manière délicate) ; l'asservissement entraîne ensuite les doigts voisins d'une fraction de l'écart. (Inférence) Ces constantes sont des valeurs de conception.</w:t>
      </w:r>
    </w:p>
    <w:p>
      <w:pPr>
        <w:pStyle w:val="ListParagraph"/>
        <w:numPr>
          <w:ilvl w:val="0"/>
          <w:numId w:val="2"/>
        </w:numPr>
        <w:spacing w:after="60" w:line="288"/>
        <w:jc w:val="both"/>
      </w:pPr>
      <w:r>
        <w:rPr>
          <w:rFonts w:ascii="Cambria" w:cs="Cambria" w:eastAsia="Cambria" w:hAnsi="Cambria"/>
          <w:b/>
          <w:bCs/>
          <w:sz w:val="22"/>
          <w:szCs w:val="22"/>
        </w:rPr>
        <w:t xml:space="preserve">Perception. </w:t>
      </w:r>
      <w:r>
        <w:rPr>
          <w:rFonts w:ascii="Cambria" w:cs="Cambria" w:eastAsia="Cambria" w:hAnsi="Cambria"/>
          <w:sz w:val="22"/>
          <w:szCs w:val="22"/>
        </w:rPr>
        <w:t xml:space="preserve">Dix capteurs par main (cinq pulpes, quatre phalanges moyennes, la paume) mesurent le contact, la force normale, la pression (force divisée par l'aire de contact) et le glissement.</w:t>
      </w:r>
    </w:p>
    <w:p>
      <w:pPr>
        <w:pStyle w:val="ListParagraph"/>
        <w:numPr>
          <w:ilvl w:val="0"/>
          <w:numId w:val="2"/>
        </w:numPr>
        <w:spacing w:after="60" w:line="288"/>
        <w:jc w:val="both"/>
      </w:pPr>
      <w:r>
        <w:rPr>
          <w:rFonts w:ascii="Cambria" w:cs="Cambria" w:eastAsia="Cambria" w:hAnsi="Cambria"/>
          <w:b/>
          <w:bCs/>
          <w:sz w:val="22"/>
          <w:szCs w:val="22"/>
        </w:rPr>
        <w:t xml:space="preserve">Force. </w:t>
      </w:r>
      <w:r>
        <w:rPr>
          <w:rFonts w:ascii="Cambria" w:cs="Cambria" w:eastAsia="Cambria" w:hAnsi="Cambria"/>
          <w:sz w:val="22"/>
          <w:szCs w:val="22"/>
        </w:rPr>
        <w:t xml:space="preserve">Pendant une prise, la force commandée monte vers la force voulue (constante de temps 100 ms) dès que les doigts ont atteint le contact ; le frottement disponible (2 μ N) est comparé à la charge ; si la charge l'emporte, l'objet glisse, le glissement est senti et le serrage est relevé après la latence humaine.</w:t>
      </w:r>
    </w:p>
    <w:p>
      <w:pPr>
        <w:spacing w:after="120" w:line="288"/>
        <w:jc w:val="both"/>
      </w:pPr>
      <w:r>
        <w:rPr>
          <w:rFonts w:ascii="Cambria" w:cs="Cambria" w:eastAsia="Cambria" w:hAnsi="Cambria"/>
          <w:sz w:val="22"/>
          <w:szCs w:val="22"/>
        </w:rPr>
        <w:t xml:space="preserve">La charge comprend le poids et l'accélération verticale de la main, que l'animateur estime à partir du mouvement du bras (différence seconde lissée) : un bras levé vivement demande plus de force. Cette part est anticipée, la force la suivant en parallèle. Une charge imprévue, par exemple un partenaire qui tire sur l'objet, n'est compensée que par le réflexe de glissement.</w:t>
      </w:r>
    </w:p>
    <w:p>
      <w:pPr>
        <w:pStyle w:val="Heading2"/>
        <w:keepNext/>
        <w:spacing w:after="100" w:before="220"/>
      </w:pPr>
      <w:r>
        <w:rPr>
          <w:rFonts w:ascii="Cambria" w:cs="Cambria" w:eastAsia="Cambria" w:hAnsi="Cambria"/>
          <w:b/>
          <w:bCs/>
          <w:color w:val="1F2B3A"/>
          <w:sz w:val="24"/>
          <w:szCs w:val="24"/>
        </w:rPr>
        <w:t xml:space="preserve">4.1 Fermeture jusqu'au contact</w:t>
      </w:r>
    </w:p>
    <w:p>
      <w:pPr>
        <w:spacing w:after="120" w:line="288"/>
        <w:jc w:val="both"/>
      </w:pPr>
      <w:r>
        <w:rPr>
          <w:rFonts w:ascii="Cambria" w:cs="Cambria" w:eastAsia="Cambria" w:hAnsi="Cambria"/>
          <w:sz w:val="22"/>
          <w:szCs w:val="22"/>
        </w:rPr>
        <w:t xml:space="preserve">Les contacts ne sont pas posés à la main : chaque doigt long passe de la posture de départ de la prise à sa posture de fermeture, articulation par articulation ; dès qu'une phalange touche la surface de l'objet (distance signée nulle entre la capsule et la forme), les articulations situées en amont s'arrêtent et les suivantes continuent, de sorte que le doigt s'enroule autour de l'objet. Le pouce est placé par cinématique inverse : une recherche minimise à la fois la pénétration du pouce dans l'objet et l'écart entre sa pulpe et la surface, en préférant un point d'appui opposé aux doigts.</w:t>
      </w:r>
    </w:p>
    <w:p>
      <w:pPr>
        <w:pStyle w:val="Heading2"/>
        <w:keepNext/>
        <w:spacing w:after="100" w:before="220"/>
      </w:pPr>
      <w:r>
        <w:rPr>
          <w:rFonts w:ascii="Cambria" w:cs="Cambria" w:eastAsia="Cambria" w:hAnsi="Cambria"/>
          <w:b/>
          <w:bCs/>
          <w:color w:val="1F2B3A"/>
          <w:sz w:val="24"/>
          <w:szCs w:val="24"/>
        </w:rPr>
        <w:t xml:space="preserve">4.2 Glissement et réflexe : mesure sur le modèle</w:t>
      </w:r>
    </w:p>
    <w:p>
      <w:pPr>
        <w:spacing w:after="120" w:line="288"/>
        <w:jc w:val="both"/>
      </w:pPr>
      <w:r>
        <w:rPr>
          <w:rFonts w:ascii="Cambria" w:cs="Cambria" w:eastAsia="Cambria" w:hAnsi="Cambria"/>
          <w:sz w:val="22"/>
          <w:szCs w:val="22"/>
        </w:rPr>
        <w:t xml:space="preserve">Essai : le verre est tenu normalement (force établie de 3,06 N), puis une traction imprévue de 2 N s'ajoute. Le glissement commence à t = 0,805 s ; le serrage est relevé à t = 0,88 s, soit 75 ms plus tard ; la force atteint 4,16 N et le verre reste dans la main. Avec une traction de 40 N sur l'épée tenue délicatement, le réflexe ne suffit pas : « L'épée échappe à la main (on la lui arrache) ».</w:t>
      </w:r>
    </w:p>
    <w:p>
      <w:pPr>
        <w:pStyle w:val="Heading1"/>
        <w:keepNext/>
        <w:spacing w:after="120" w:before="280"/>
      </w:pPr>
      <w:r>
        <w:rPr>
          <w:rFonts w:ascii="Cambria" w:cs="Cambria" w:eastAsia="Cambria" w:hAnsi="Cambria"/>
          <w:b/>
          <w:bCs/>
          <w:color w:val="1F2B3A"/>
          <w:sz w:val="28"/>
          <w:szCs w:val="28"/>
        </w:rPr>
        <w:t xml:space="preserve">5. Manières de serrer</w:t>
      </w:r>
    </w:p>
    <w:p>
      <w:pPr>
        <w:spacing w:after="120" w:line="288"/>
        <w:jc w:val="both"/>
      </w:pPr>
      <w:r>
        <w:rPr>
          <w:rFonts w:ascii="Cambria" w:cs="Cambria" w:eastAsia="Cambria" w:hAnsi="Cambria"/>
          <w:sz w:val="22"/>
          <w:szCs w:val="22"/>
        </w:rPr>
        <w:t xml:space="preserve">La manière fixe la marge au-dessus de la force minimale, un plancher (force minimale de contact), un plafond exprimé en fraction du seuil de dommage de l'objet, et la vitesse des doigts. (Inférence) Ces valeurs sont des choix de conception, réglables.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1500"/>
        <w:gridCol w:w="1500"/>
        <w:gridCol w:w="2560"/>
        <w:gridCol w:w="1500"/>
      </w:tblGrid>
      <w:tr>
        <w:trPr>
          <w:cantSplit/>
          <w:tblHeader/>
        </w:trPr>
        <w:tc>
          <w:tcPr>
            <w:tcW w:type="dxa" w:w="23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Manière</w:t>
            </w:r>
          </w:p>
        </w:tc>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Marge</w:t>
            </w:r>
          </w:p>
        </w:tc>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Plancher</w:t>
            </w:r>
          </w:p>
        </w:tc>
        <w:tc>
          <w:tcPr>
            <w:tcW w:type="dxa" w:w="25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Plafond (× seuil de dommage)</w:t>
            </w:r>
          </w:p>
        </w:tc>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Vitesse</w:t>
            </w:r>
          </w:p>
        </w:tc>
      </w:tr>
      <w:tr>
        <w:trPr>
          <w:cantSplit/>
        </w:trPr>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effleurement</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+ 0 %</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 N</w:t>
            </w:r>
          </w:p>
        </w:tc>
        <w:tc>
          <w:tcPr>
            <w:tcW w:type="dxa" w:w="2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0,05</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0,5</w:t>
            </w:r>
          </w:p>
        </w:tc>
      </w:tr>
      <w:tr>
        <w:trPr>
          <w:cantSplit/>
        </w:trPr>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délicatement</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+ 20 %</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0,4 N</w:t>
            </w:r>
          </w:p>
        </w:tc>
        <w:tc>
          <w:tcPr>
            <w:tcW w:type="dxa" w:w="2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0,6</w:t>
            </w:r>
          </w:p>
        </w:tc>
      </w:tr>
      <w:tr>
        <w:trPr>
          <w:cantSplit/>
        </w:trPr>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normalement</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+ 50 %</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w:t>
            </w:r>
          </w:p>
        </w:tc>
        <w:tc>
          <w:tcPr>
            <w:tcW w:type="dxa" w:w="2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0,8</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w:t>
            </w:r>
          </w:p>
        </w:tc>
      </w:tr>
      <w:tr>
        <w:trPr>
          <w:cantSplit/>
        </w:trPr>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fermement</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+ 100 %</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 N</w:t>
            </w:r>
          </w:p>
        </w:tc>
        <w:tc>
          <w:tcPr>
            <w:tcW w:type="dxa" w:w="2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0,9</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1,2</w:t>
            </w:r>
          </w:p>
        </w:tc>
      </w:tr>
      <w:tr>
        <w:trPr>
          <w:cantSplit/>
        </w:trPr>
        <w:tc>
          <w:tcPr>
            <w:tcW w:type="dxa" w:w="2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 toutes ses forces</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+ 300 %</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30 N</w:t>
            </w:r>
          </w:p>
        </w:tc>
        <w:tc>
          <w:tcPr>
            <w:tcW w:type="dxa" w:w="25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aucun</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1,4</w:t>
            </w:r>
          </w:p>
        </w:tc>
      </w:tr>
    </w:tbl>
    <w:p>
      <w:pPr>
        <w:spacing w:after="60"/>
      </w:pPr>
    </w:p>
    <w:p>
      <w:pPr>
        <w:spacing w:after="120" w:line="288"/>
        <w:jc w:val="both"/>
      </w:pPr>
      <w:r>
        <w:rPr>
          <w:rFonts w:ascii="Cambria" w:cs="Cambria" w:eastAsia="Cambria" w:hAnsi="Cambria"/>
          <w:sz w:val="22"/>
          <w:szCs w:val="22"/>
        </w:rPr>
        <w:t xml:space="preserve">Mesure sur le verre (0,25 kg, μ = 0,6) : délicatement, 2,45 N ; normalement, 3,07 N ; fermement, 4,09 N, pour une force minimale de 2,04 N. L'intention change la règle : « froisse la lettre » lève le plafond, la force monte à 30 N et le journal annonce « La lettre se froisse ». Sans intention, même « de toutes tes forces » ne dépasse pas la force maximale de la main (300 N, Inférence).</w:t>
      </w:r>
    </w:p>
    <w:p>
      <w:pPr>
        <w:pStyle w:val="Heading1"/>
        <w:keepNext/>
        <w:spacing w:after="120" w:before="280"/>
      </w:pPr>
      <w:r>
        <w:rPr>
          <w:rFonts w:ascii="Cambria" w:cs="Cambria" w:eastAsia="Cambria" w:hAnsi="Cambria"/>
          <w:b/>
          <w:bCs/>
          <w:color w:val="1F2B3A"/>
          <w:sz w:val="28"/>
          <w:szCs w:val="28"/>
        </w:rPr>
        <w:t xml:space="preserve">6. Postures des doigts</w:t>
      </w:r>
    </w:p>
    <w:p>
      <w:pPr>
        <w:spacing w:after="120" w:line="288"/>
        <w:jc w:val="both"/>
      </w:pPr>
      <w:r>
        <w:rPr>
          <w:rFonts w:ascii="Cambria" w:cs="Cambria" w:eastAsia="Cambria" w:hAnsi="Cambria"/>
          <w:sz w:val="22"/>
          <w:szCs w:val="22"/>
        </w:rPr>
        <w:t xml:space="preserve">Les postures donnent la position de chaque doigt (métacarpo-phalangienne, écartement, interphalangienne proximale ; la distale suit les deux tiers de la proximale) et celle du pouce. Elles se commandent par la voix, l'écrit ou le menu de l'onglet « Mains » ; un geste du corps rend la main aux gestes, sauf si la même consigne a commandé la main.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60"/>
        <w:gridCol w:w="1380"/>
        <w:gridCol w:w="1380"/>
        <w:gridCol w:w="1380"/>
        <w:gridCol w:w="1380"/>
        <w:gridCol w:w="1380"/>
      </w:tblGrid>
      <w:tr>
        <w:trPr>
          <w:cantSplit/>
          <w:tblHeader/>
        </w:trPr>
        <w:tc>
          <w:tcPr>
            <w:tcW w:type="dxa" w:w="24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Posture</w:t>
            </w:r>
          </w:p>
        </w:tc>
        <w:tc>
          <w:tcPr>
            <w:tcW w:type="dxa" w:w="13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Index (MCP / IPP)</w:t>
            </w:r>
          </w:p>
        </w:tc>
        <w:tc>
          <w:tcPr>
            <w:tcW w:type="dxa" w:w="13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Majeur</w:t>
            </w:r>
          </w:p>
        </w:tc>
        <w:tc>
          <w:tcPr>
            <w:tcW w:type="dxa" w:w="13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Annulaire</w:t>
            </w:r>
          </w:p>
        </w:tc>
        <w:tc>
          <w:tcPr>
            <w:tcW w:type="dxa" w:w="13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Auriculaire</w:t>
            </w:r>
          </w:p>
        </w:tc>
        <w:tc>
          <w:tcPr>
            <w:tcW w:type="dxa" w:w="138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Pouce (opp. / abd.)</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au repos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14° / 18°</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18° / 22°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22° / 26°</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26° / 30°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 / 22°</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ouverte</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4°</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4°</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4°</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4°</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30°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doigts écartés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45°</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poing fermé</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42° / 8°</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pointé</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levé</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35°</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baissé</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35°</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signe « OK » (pouce et index en anneau)</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55° / 70°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8°</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10°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 / 12°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38° / 40°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 de la victoire</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pince pouce-index</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42° / 45°</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60° / 70°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70° / 80°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75° / 85°</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30° / 38°</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en clé (index à demi replié)</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50° / 40°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80° / 95°</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12°</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en coupe</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 30°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 32°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 32°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 32°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15°</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en griffe</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90°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90°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90°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10° / 90°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 / 30°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un doigt</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deux doigts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trois doigts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85° / 100°</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10°</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quatre doigts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40° / 12°</w:t>
            </w:r>
          </w:p>
        </w:tc>
      </w:tr>
      <w:tr>
        <w:trPr>
          <w:cantSplit/>
        </w:trPr>
        <w:tc>
          <w:tcPr>
            <w:tcW w:type="dxa" w:w="24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cinq doigts</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 2°</w:t>
            </w:r>
          </w:p>
        </w:tc>
        <w:tc>
          <w:tcPr>
            <w:tcW w:type="dxa" w:w="138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-5° / 45°</w:t>
            </w:r>
          </w:p>
        </w:tc>
      </w:tr>
    </w:tbl>
    <w:p>
      <w:pPr>
        <w:spacing w:after="60"/>
      </w:pPr>
    </w:p>
    <w:p>
      <w:pPr>
        <w:spacing w:after="120" w:line="288"/>
        <w:jc w:val="both"/>
      </w:pPr>
      <w:r>
        <w:rPr>
          <w:rFonts w:ascii="Cambria" w:cs="Cambria" w:eastAsia="Cambria" w:hAnsi="Cambria"/>
          <w:sz w:val="22"/>
          <w:szCs w:val="22"/>
        </w:rPr>
        <w:t xml:space="preserve">La fermeture globale (moyenne des flexions des doigts longs, de 0 à 100 %) vaut 2 % main ouverte, 23 % au repos, 68 % en pince et 95 % poing fermé ; c'est la valeur transmise au degré de liberté « main.fermeture », que lit le jumeau du TonyPi Pro pour commander sa pince.</w:t>
      </w:r>
    </w:p>
    <w:p>
      <w:pPr>
        <w:pStyle w:val="Heading1"/>
        <w:keepNext/>
        <w:spacing w:after="120" w:before="280"/>
      </w:pPr>
      <w:r>
        <w:rPr>
          <w:rFonts w:ascii="Cambria" w:cs="Cambria" w:eastAsia="Cambria" w:hAnsi="Cambria"/>
          <w:b/>
          <w:bCs/>
          <w:color w:val="1F2B3A"/>
          <w:sz w:val="28"/>
          <w:szCs w:val="28"/>
        </w:rPr>
        <w:t xml:space="preserve">7. Prises et accessoires</w:t>
      </w:r>
    </w:p>
    <w:p>
      <w:pPr>
        <w:spacing w:after="120" w:line="288"/>
        <w:jc w:val="both"/>
      </w:pPr>
      <w:r>
        <w:rPr>
          <w:rFonts w:ascii="Cambria" w:cs="Cambria" w:eastAsia="Cambria" w:hAnsi="Cambria"/>
          <w:sz w:val="22"/>
          <w:szCs w:val="22"/>
        </w:rPr>
        <w:t xml:space="preserve">Douze accessoires sont modélisés, chacun avec une forme de contact (cylindre, sphère ou plaque), une masse, un coefficient de frottement, un seuil de dommage, l'effet de ce dommage et sa prise par défaut. (Inférence) Masses, coefficients et seuils sont des valeurs de conception plausibles. Le tableau donne, pour une prise normale, les doigts effectivement en contact calculés par le modèle et la force établie.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700"/>
        <w:gridCol w:w="1500"/>
        <w:gridCol w:w="2760"/>
        <w:gridCol w:w="1100"/>
      </w:tblGrid>
      <w:tr>
        <w:trPr>
          <w:cantSplit/>
          <w:tblHeader/>
        </w:trPr>
        <w:tc>
          <w:tcPr>
            <w:tcW w:type="dxa" w:w="13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Accessoire</w:t>
            </w:r>
          </w:p>
        </w:tc>
        <w:tc>
          <w:tcPr>
            <w:tcW w:type="dxa" w:w="27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Prise (taxonomie)</w:t>
            </w:r>
          </w:p>
        </w:tc>
        <w:tc>
          <w:tcPr>
            <w:tcW w:type="dxa" w:w="15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Masse, μ, seuil</w:t>
            </w:r>
          </w:p>
        </w:tc>
        <w:tc>
          <w:tcPr>
            <w:tcW w:type="dxa" w:w="2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Doigts en contact (segments)</w:t>
            </w:r>
          </w:p>
        </w:tc>
        <w:tc>
          <w:tcPr>
            <w:tcW w:type="dxa" w:w="11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Force</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verre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enveloppement cylindrique — Medium wrap — puissance, opposition paume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0,25 kg ; 0,6 ; 45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 majeur (dist.), annulaire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3,1 N (min. 2)</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coupe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enveloppement cylindrique — Medium wrap — puissance, opposition paume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 kg ; 0,6 ; 40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(moy., dist.), index (dist.), majeur (dist.), annulaire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N (min. 1,6)</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épée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enveloppement cylindrique — Medium wrap — puissance, opposition paume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1,1 kg ; 0,9 ; 2 000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(prox., moy.), index (dist.), majeur (dist.), annulaire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 N (min. 6)</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éventail</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latérale (pouce contre le côté de l'index) — Lateral — intermédiaire, opposition côté</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0,08 kg ; 0,6 ; 60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 (min. 0,7)</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lettre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latérale (pouce contre le côté de l'index) — Lateral — intermédiaire, opposition côté</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0,006 kg ; 0,45 ; 6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(moy., dist.), index (prox., moy.,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 (min. 0,1)</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rose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pince fine pulpe à pulpe — Tip pinch — précision, opposition pulpe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0,03 kg ; 0,55 ; 4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 (min. 0,3)</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plume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tripode — Tripod — précision, opposition pulpe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0,01 kg ; 0,5 ; 8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 majeur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 (min. 0,1)</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pomme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sphérique — Power sphere — puissance, opposition paume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0,2 kg ; 0,6 ; 120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 majeur (moy., dist.), annulaire (moy.,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2,5 N (min. 1,6)</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crâne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sphérique — Power sphere — puissance, opposition paume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0,9 kg ; 0,7 ; 600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 majeur (dist.), annulaire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9,5 N (min. 6,3)</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livre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prise palmaire d'un objet plat (pouce sur une face, doigts sur l'autre) — Medium wrap aplati — puissance, opposition paume (Inférence)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0,5 kg ; 0,6 ; 800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(dist.), majeur (moy., dist.), annulaire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6,1 N (min. 4,1)</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lanterne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crochet — Hook — puissance, sans pouce</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0,6 kg ; 0,7 ; 400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index (dist.), majeur (dist.), annulaire (moy., dist.), auriculaire (dist.)</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6,3 N (min. 4,2)</w:t>
            </w:r>
          </w:p>
        </w:tc>
      </w:tr>
      <w:tr>
        <w:trPr>
          <w:cantSplit/>
        </w:trPr>
        <w:tc>
          <w:tcPr>
            <w:tcW w:type="dxa" w:w="13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du partenaire</w:t>
            </w:r>
          </w:p>
        </w:tc>
        <w:tc>
          <w:tcPr>
            <w:tcW w:type="dxa" w:w="27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poignée de main — Medium wrap appliqué à la main d'autrui</w:t>
            </w:r>
          </w:p>
        </w:tc>
        <w:tc>
          <w:tcPr>
            <w:tcW w:type="dxa" w:w="15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0 kg ; 0,8 ; 30 N</w:t>
            </w:r>
          </w:p>
        </w:tc>
        <w:tc>
          <w:tcPr>
            <w:tcW w:type="dxa" w:w="2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pouce (dist.), index (prox., dist.), majeur (prox., dist.), annulaire (prox., dist.), auriculaire (moy.)</w:t>
            </w:r>
          </w:p>
        </w:tc>
        <w:tc>
          <w:tcPr>
            <w:tcW w:type="dxa" w:w="11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 N (min. 0)</w:t>
            </w:r>
          </w:p>
        </w:tc>
      </w:tr>
    </w:tbl>
    <w:p>
      <w:pPr>
        <w:spacing w:after="60"/>
      </w:pPr>
    </w:p>
    <w:p>
      <w:pPr>
        <w:spacing w:after="120" w:line="288"/>
        <w:jc w:val="both"/>
      </w:pPr>
      <w:r>
        <w:rPr>
          <w:rFonts w:ascii="Cambria" w:cs="Cambria" w:eastAsia="Cambria" w:hAnsi="Cambria"/>
          <w:sz w:val="22"/>
          <w:szCs w:val="22"/>
        </w:rPr>
        <w:t xml:space="preserve">La main du partenaire est tenue par lui : elle n'a pas de poids pour le robot, et son seuil de « dommage » est un seuil d'inconfort ; « effleure sa main » produit un contact de 0,2 N sans serrer. Lâché, un accessoire tombe sur le plateau, où il reste jusqu'à ce qu'on le reprenne ; posé, il quitte la scène ; reprendre un autre objet pose le premier. Le dommage est visible : la lettre froissée devient une boule, la tige de la rose plie, les autres objets s'assombrissent.</w:t>
      </w:r>
    </w:p>
    <w:p>
      <w:pPr>
        <w:pStyle w:val="Heading1"/>
        <w:keepNext/>
        <w:spacing w:after="120" w:before="280"/>
      </w:pPr>
      <w:r>
        <w:rPr>
          <w:rFonts w:ascii="Cambria" w:cs="Cambria" w:eastAsia="Cambria" w:hAnsi="Cambria"/>
          <w:b/>
          <w:bCs/>
          <w:color w:val="1F2B3A"/>
          <w:sz w:val="28"/>
          <w:szCs w:val="28"/>
        </w:rPr>
        <w:t xml:space="preserve">8. Toucher et carte de pression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cantSplit/>
          <w:tblHeader/>
        </w:trPr>
        <w:tc>
          <w:tcPr>
            <w:tcW w:type="dxa" w:w="60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Capteur</w:t>
            </w:r>
          </w:p>
        </w:tc>
        <w:tc>
          <w:tcPr>
            <w:tcW w:type="dxa" w:w="33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Aire de contact (cm²)</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pulpe du pouce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1,4</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pulpe de l'index</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pulpe du majeur</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pulpe de l'annulaire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pulpe de l'auriculaire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phalange moyenne de l'index</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phalange moyenne du majeur</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phalange moyenne de l'annulaire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phalange moyenne de l'auriculaire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1,5</w:t>
            </w:r>
          </w:p>
        </w:tc>
      </w:tr>
      <w:tr>
        <w:trPr>
          <w:cantSplit/>
        </w:trPr>
        <w:tc>
          <w:tcPr>
            <w:tcW w:type="dxa" w:w="60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paume</w:t>
            </w:r>
          </w:p>
        </w:tc>
        <w:tc>
          <w:tcPr>
            <w:tcW w:type="dxa" w:w="33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20</w:t>
            </w:r>
          </w:p>
        </w:tc>
      </w:tr>
    </w:tbl>
    <w:p>
      <w:pPr>
        <w:spacing w:after="60"/>
      </w:pPr>
    </w:p>
    <w:p>
      <w:pPr>
        <w:spacing w:after="120" w:line="288"/>
        <w:jc w:val="both"/>
      </w:pPr>
      <w:r>
        <w:rPr>
          <w:rFonts w:ascii="Cambria" w:cs="Cambria" w:eastAsia="Cambria" w:hAnsi="Cambria"/>
          <w:sz w:val="22"/>
          <w:szCs w:val="22"/>
        </w:rPr>
        <w:t xml:space="preserve">(Inférence) Les aires de contact sont des valeurs de conception. Au rendu, un coussinet coloré apparaît sur chaque capteur en contact : vert pour un effleurement, jaune puis rouge au-delà, sur une échelle logarithmique qui atteint le rouge vers 300 kPa ; la case « carte tactile » de l'onglet « Mains » les masque. Le toucher du corps propre est perçu de la même façon : quand un geste pose la main sur le visage ou sur le cœur, les capteurs du point de contact (paume, pulpe de l'index, pulpes des doigts) reçoivent une force qui dépend de la manière (0,2 N pour un effleurement, 0,6 N délicatement, 1,5 N normalement, 5 N fermement, Inférence). La main sur le cœur rejoint un repère de la poitrine par la même cinématique inverse du bras que les gestes au visage.</w:t>
      </w:r>
    </w:p>
    <w:p>
      <w:pPr>
        <w:pStyle w:val="Heading1"/>
        <w:keepNext/>
        <w:spacing w:after="120" w:before="280"/>
      </w:pPr>
      <w:r>
        <w:rPr>
          <w:rFonts w:ascii="Cambria" w:cs="Cambria" w:eastAsia="Cambria" w:hAnsi="Cambria"/>
          <w:b/>
          <w:bCs/>
          <w:color w:val="1F2B3A"/>
          <w:sz w:val="28"/>
          <w:szCs w:val="28"/>
        </w:rPr>
        <w:t xml:space="preserve">9. Commandes écrites et vocales</w:t>
      </w:r>
    </w:p>
    <w:p>
      <w:pPr>
        <w:spacing w:after="120" w:line="288"/>
        <w:jc w:val="both"/>
      </w:pPr>
      <w:r>
        <w:rPr>
          <w:rFonts w:ascii="Cambria" w:cs="Cambria" w:eastAsia="Cambria" w:hAnsi="Cambria"/>
          <w:sz w:val="22"/>
          <w:szCs w:val="22"/>
        </w:rPr>
        <w:t xml:space="preserve">L'interprète de la page reconnaît les consignes de main avant les gestes homonymes : un objet nommé avec un verbe de prise (prends, saisis, tiens, porte, brandis, effleure…) donne une prise ; un verbe de dépôt, de lâcher ou d'écrasement donne l'action correspondante ; un objet nommé sans verbe de prise reste un geste mimé (« bois un verre »). La manière se lit dans l'adverbe. Le côté par défaut est la main droite ; « avec la main gauche » ou « des deux mains » le précisent, et « lâche le verre » s'adresse à la main qui le tient. Le tableau a été produit en soumettant chaque phrase à l'interprète réel.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600"/>
        <w:gridCol w:w="5760"/>
      </w:tblGrid>
      <w:tr>
        <w:trPr>
          <w:cantSplit/>
          <w:tblHeader/>
        </w:trPr>
        <w:tc>
          <w:tcPr>
            <w:tcW w:type="dxa" w:w="360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Consigne</w:t>
            </w:r>
          </w:p>
        </w:tc>
        <w:tc>
          <w:tcPr>
            <w:tcW w:type="dxa" w:w="5760"/>
            <w:tcBorders>
              <w:top w:val="single" w:color="B8C2CF" w:sz="4"/>
              <w:left w:val="single" w:color="B8C2CF" w:sz="4"/>
              <w:bottom w:val="single" w:color="B8C2CF" w:sz="4"/>
              <w:right w:val="single" w:color="B8C2CF" w:sz="4"/>
            </w:tcBorders>
            <w:shd w:fill="1F2B3A" w:color="auto" w:val="clear"/>
            <w:tcMar>
              <w:top w:type="dxa" w:w="60"/>
              <w:left w:type="dxa" w:w="100"/>
              <w:bottom w:type="dxa" w:w="60"/>
              <w:right w:type="dxa" w:w="100"/>
            </w:tcMar>
          </w:tcPr>
          <w:p>
            <w:pPr>
              <w:spacing w:after="0"/>
            </w:pPr>
            <w:r>
              <w:rPr>
                <w:rFonts w:ascii="Cambria" w:cs="Cambria" w:eastAsia="Cambria" w:hAnsi="Cambria"/>
                <w:b/>
                <w:bCs/>
                <w:color w:val="FFFFFF"/>
                <w:sz w:val="19"/>
                <w:szCs w:val="19"/>
              </w:rPr>
              <w:t xml:space="preserve">Action produite par l'interprète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le verre délicatement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verre (enveloppement cylindrique) — délicatement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l'épée fermement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épée (enveloppement cylindrique) — fermement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la rose du bout des doigts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rose (pince fine pulpe à pulpe) — délicatement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tiens la lettre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lettre (prise latérale (pouce contre le côté de l'index))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le livre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livre (prise palmaire d'un objet plat (pouce sur une face, doigts sur l'autre))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le crâne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crâne (prise sphérique)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porte la lanterne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lanterne (crochet)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prends la pomme avec la main gauche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gauche : prendre pomme (prise sphérique)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pose le verre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poser verre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lâche la rose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lâcher rose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froisse la lettre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écraser volontairement lettre</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 plus fort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régler le serrage — fermement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desserre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régler le serrage — délicatement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 la main du partenaire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main du partenaire (poignée de main) — normalement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effleure sa main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main du partenaire (poignée de main) — effleurement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serre-lui la main de toutes tes forces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prendre main du partenaire (poignée de main) — de toutes ses forces</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pose la main sur le cœur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main posée sur le cœur — délicatement</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montre trois doigts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trois doigts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le signe ok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signe « OK » (pouce et index en anneau)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signe de la victoire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V de la victoire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pouce vers le bas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pouce baissé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 le poing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poing fermé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écarte les doigts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doigts écartés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fais une pince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pince pouce-index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pianote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pianoter des doigts</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relâche la main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rendue aux gestes</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lève le pouce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main droite : posture « pouce levé » ; puis geste « pouce_leve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bois un verre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geste « boire »</w:t>
            </w:r>
          </w:p>
        </w:tc>
      </w:tr>
      <w:tr>
        <w:trPr>
          <w:cantSplit/>
        </w:trPr>
        <w:tc>
          <w:tcPr>
            <w:tcW w:type="dxa" w:w="360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 serre la main »</w:t>
            </w:r>
          </w:p>
        </w:tc>
        <w:tc>
          <w:tcPr>
            <w:tcW w:type="dxa" w:w="5760"/>
            <w:tcBorders>
              <w:top w:val="single" w:color="B8C2CF" w:sz="4"/>
              <w:left w:val="single" w:color="B8C2CF" w:sz="4"/>
              <w:bottom w:val="single" w:color="B8C2CF" w:sz="4"/>
              <w:right w:val="single" w:color="B8C2CF" w:sz="4"/>
            </w:tcBorders>
            <w:tcMar>
              <w:top w:type="dxa" w:w="60"/>
              <w:left w:type="dxa" w:w="100"/>
              <w:bottom w:type="dxa" w:w="60"/>
              <w:right w:type="dxa" w:w="100"/>
            </w:tcMar>
          </w:tcPr>
          <w:p>
            <w:pPr>
              <w:spacing w:after="0"/>
            </w:pPr>
            <w:r>
              <w:rPr>
                <w:rFonts w:ascii="Cambria" w:cs="Cambria" w:eastAsia="Cambria" w:hAnsi="Cambria"/>
                <w:b w:val="false"/>
                <w:bCs w:val="false"/>
                <w:sz w:val="19"/>
                <w:szCs w:val="19"/>
              </w:rPr>
              <w:t xml:space="preserve">geste « serrer_main »</w:t>
            </w:r>
          </w:p>
        </w:tc>
      </w:tr>
    </w:tbl>
    <w:p>
      <w:pPr>
        <w:spacing w:after="60"/>
      </w:pPr>
    </w:p>
    <w:p>
      <w:pPr>
        <w:spacing w:after="120" w:line="288"/>
        <w:jc w:val="both"/>
      </w:pPr>
      <w:r>
        <w:rPr>
          <w:rFonts w:ascii="Cambria" w:cs="Cambria" w:eastAsia="Cambria" w:hAnsi="Cambria"/>
          <w:sz w:val="22"/>
          <w:szCs w:val="22"/>
        </w:rPr>
        <w:t xml:space="preserve">Toute action de main proposée par un modèle d'IA, quand l'interprète ne comprend pas, est revalidée par le pont contre le vocabulaire fermé de schema.json (actions, postures, objets, manières, cibles du toucher), selon la même règle que dans la page ; une action hors vocabulaire est rejetée avec son motif.</w:t>
      </w:r>
    </w:p>
    <w:p>
      <w:pPr>
        <w:pStyle w:val="Heading1"/>
        <w:keepNext/>
        <w:spacing w:after="120" w:before="280"/>
      </w:pPr>
      <w:r>
        <w:rPr>
          <w:rFonts w:ascii="Cambria" w:cs="Cambria" w:eastAsia="Cambria" w:hAnsi="Cambria"/>
          <w:b/>
          <w:bCs/>
          <w:color w:val="1F2B3A"/>
          <w:sz w:val="28"/>
          <w:szCs w:val="28"/>
        </w:rPr>
        <w:t xml:space="preserve">10. Interface et robot physique</w:t>
      </w:r>
    </w:p>
    <w:p>
      <w:pPr>
        <w:pStyle w:val="ListParagraph"/>
        <w:numPr>
          <w:ilvl w:val="0"/>
          <w:numId w:val="2"/>
        </w:numPr>
        <w:spacing w:after="60" w:line="288"/>
        <w:jc w:val="both"/>
      </w:pPr>
      <w:r>
        <w:rPr>
          <w:rFonts w:ascii="Cambria" w:cs="Cambria" w:eastAsia="Cambria" w:hAnsi="Cambria"/>
          <w:b/>
          <w:bCs/>
          <w:sz w:val="22"/>
          <w:szCs w:val="22"/>
        </w:rPr>
        <w:t xml:space="preserve">Onglet « Mains ». </w:t>
      </w:r>
      <w:r>
        <w:rPr>
          <w:rFonts w:ascii="Cambria" w:cs="Cambria" w:eastAsia="Cambria" w:hAnsi="Cambria"/>
          <w:sz w:val="22"/>
          <w:szCs w:val="22"/>
        </w:rPr>
        <w:t xml:space="preserve">Pour chaque main : posture des doigts, accessoire et manière, boutons Prendre, Poser, Lâcher, Écraser et « Rendre aux gestes », état de la prise (force, force minimale, glissement, dommage), fermeture en pour cent et relevé des dix capteurs (force et pression).</w:t>
      </w:r>
    </w:p>
    <w:p>
      <w:pPr>
        <w:pStyle w:val="ListParagraph"/>
        <w:numPr>
          <w:ilvl w:val="0"/>
          <w:numId w:val="2"/>
        </w:numPr>
        <w:spacing w:after="60" w:line="288"/>
        <w:jc w:val="both"/>
      </w:pPr>
      <w:r>
        <w:rPr>
          <w:rFonts w:ascii="Cambria" w:cs="Cambria" w:eastAsia="Cambria" w:hAnsi="Cambria"/>
          <w:b/>
          <w:bCs/>
          <w:sz w:val="22"/>
          <w:szCs w:val="22"/>
        </w:rPr>
        <w:t xml:space="preserve">Journal. </w:t>
      </w:r>
      <w:r>
        <w:rPr>
          <w:rFonts w:ascii="Cambria" w:cs="Cambria" w:eastAsia="Cambria" w:hAnsi="Cambria"/>
          <w:sz w:val="22"/>
          <w:szCs w:val="22"/>
        </w:rPr>
        <w:t xml:space="preserve">Prise établie, glissement, réflexe, objet échappé, dommage, objet lâché ou posé : chaque événement de la main est consigné, côté compris.</w:t>
      </w:r>
    </w:p>
    <w:p>
      <w:pPr>
        <w:pStyle w:val="ListParagraph"/>
        <w:numPr>
          <w:ilvl w:val="0"/>
          <w:numId w:val="2"/>
        </w:numPr>
        <w:spacing w:after="60" w:line="288"/>
        <w:jc w:val="both"/>
      </w:pPr>
      <w:r>
        <w:rPr>
          <w:rFonts w:ascii="Cambria" w:cs="Cambria" w:eastAsia="Cambria" w:hAnsi="Cambria"/>
          <w:b/>
          <w:bCs/>
          <w:sz w:val="22"/>
          <w:szCs w:val="22"/>
        </w:rPr>
        <w:t xml:space="preserve">Bras. </w:t>
      </w:r>
      <w:r>
        <w:rPr>
          <w:rFonts w:ascii="Cambria" w:cs="Cambria" w:eastAsia="Cambria" w:hAnsi="Cambria"/>
          <w:sz w:val="22"/>
          <w:szCs w:val="22"/>
        </w:rPr>
        <w:t xml:space="preserve">Saisir un accessoire fléchit le coude pour le présenter ; serrer la main du partenaire tend le bras vers l'avant ; lâcher ramène le bras.</w:t>
      </w:r>
    </w:p>
    <w:p>
      <w:pPr>
        <w:pStyle w:val="ListParagraph"/>
        <w:numPr>
          <w:ilvl w:val="0"/>
          <w:numId w:val="2"/>
        </w:numPr>
        <w:spacing w:after="60" w:line="288"/>
        <w:jc w:val="both"/>
      </w:pPr>
      <w:r>
        <w:rPr>
          <w:rFonts w:ascii="Cambria" w:cs="Cambria" w:eastAsia="Cambria" w:hAnsi="Cambria"/>
          <w:b/>
          <w:bCs/>
          <w:sz w:val="22"/>
          <w:szCs w:val="22"/>
        </w:rPr>
        <w:t xml:space="preserve">TonyPi Pro. </w:t>
      </w:r>
      <w:r>
        <w:rPr>
          <w:rFonts w:ascii="Cambria" w:cs="Cambria" w:eastAsia="Cambria" w:hAnsi="Cambria"/>
          <w:sz w:val="22"/>
          <w:szCs w:val="22"/>
        </w:rPr>
        <w:t xml:space="preserve">La pince du robot réel reçoit la fermeture globale de la main par le jumeau, dans les limites et sous la couche de sécurité déjà décrites dans le guide du TonyPi Pro ; les doigts, les forces et les capteurs restent virtuels.</w:t>
      </w:r>
    </w:p>
    <w:p>
      <w:pPr>
        <w:pStyle w:val="Heading1"/>
        <w:keepNext/>
        <w:spacing w:after="120" w:before="280"/>
      </w:pPr>
      <w:r>
        <w:rPr>
          <w:rFonts w:ascii="Cambria" w:cs="Cambria" w:eastAsia="Cambria" w:hAnsi="Cambria"/>
          <w:b/>
          <w:bCs/>
          <w:color w:val="1F2B3A"/>
          <w:sz w:val="28"/>
          <w:szCs w:val="28"/>
        </w:rPr>
        <w:t xml:space="preserve">11. Validation et limites</w:t>
      </w:r>
    </w:p>
    <w:p>
      <w:pPr>
        <w:spacing w:after="120" w:line="288"/>
        <w:jc w:val="both"/>
      </w:pPr>
      <w:r>
        <w:rPr>
          <w:rFonts w:ascii="Cambria" w:cs="Cambria" w:eastAsia="Cambria" w:hAnsi="Cambria"/>
          <w:sz w:val="22"/>
          <w:szCs w:val="22"/>
        </w:rPr>
        <w:t xml:space="preserve">Les tests automatisés (tests/test_mains.py et tests/test_humain.py) vérifient les amplitudes et le couplage des postures, le contact d'au moins deux doigts dont le pouce sur chaque accessoire, une force comprise entre la force minimale et le plafond, la latence de 74 ms du réflexe, l'arrachement, l'écrasement volontaire, l'égalité pression = force / aire, l'ordre des fermetures, la poignée de main délicate, l'identité du vocabulaire entre le module et le schéma, la compréhension et la validation identique des consignes en JavaScript et en Python, et l'intégration avec le rendu et le jumeau. L'ensemble des tests de la plateforme passe.</w:t>
      </w:r>
    </w:p>
    <w:p>
      <w:pPr>
        <w:pStyle w:val="ListParagraph"/>
        <w:numPr>
          <w:ilvl w:val="0"/>
          <w:numId w:val="2"/>
        </w:numPr>
        <w:spacing w:after="60" w:line="288"/>
        <w:jc w:val="both"/>
      </w:pPr>
      <w:r>
        <w:rPr>
          <w:rFonts w:ascii="Cambria" w:cs="Cambria" w:eastAsia="Cambria" w:hAnsi="Cambria"/>
          <w:b/>
          <w:bCs/>
          <w:sz w:val="22"/>
          <w:szCs w:val="22"/>
        </w:rPr>
        <w:t xml:space="preserve">Physique simplifiée. </w:t>
      </w:r>
      <w:r>
        <w:rPr>
          <w:rFonts w:ascii="Cambria" w:cs="Cambria" w:eastAsia="Cambria" w:hAnsi="Cambria"/>
          <w:sz w:val="22"/>
          <w:szCs w:val="22"/>
        </w:rPr>
        <w:t xml:space="preserve">Le glissement suit le frottement de Coulomb sur deux faces, amorti par la souplesse de la pulpe (Inférence) ; l'objet ne tourne pas dans la main et le couple n'est pas modélisé.</w:t>
      </w:r>
    </w:p>
    <w:p>
      <w:pPr>
        <w:pStyle w:val="ListParagraph"/>
        <w:numPr>
          <w:ilvl w:val="0"/>
          <w:numId w:val="2"/>
        </w:numPr>
        <w:spacing w:after="60" w:line="288"/>
        <w:jc w:val="both"/>
      </w:pPr>
      <w:r>
        <w:rPr>
          <w:rFonts w:ascii="Cambria" w:cs="Cambria" w:eastAsia="Cambria" w:hAnsi="Cambria"/>
          <w:b/>
          <w:bCs/>
          <w:sz w:val="22"/>
          <w:szCs w:val="22"/>
        </w:rPr>
        <w:t xml:space="preserve">Valeurs de conception. </w:t>
      </w:r>
      <w:r>
        <w:rPr>
          <w:rFonts w:ascii="Cambria" w:cs="Cambria" w:eastAsia="Cambria" w:hAnsi="Cambria"/>
          <w:sz w:val="22"/>
          <w:szCs w:val="22"/>
        </w:rPr>
        <w:t xml:space="preserve">Masses, coefficients de frottement, seuils de dommage, aires des capteurs, forces du toucher, marges et vitesses ne sont pas mesurés ; ils sont réglables et devraient être calibrés si l'on veut comparer le robot à un acteur.</w:t>
      </w:r>
    </w:p>
    <w:p>
      <w:pPr>
        <w:pStyle w:val="ListParagraph"/>
        <w:numPr>
          <w:ilvl w:val="0"/>
          <w:numId w:val="2"/>
        </w:numPr>
        <w:spacing w:after="60" w:line="288"/>
        <w:jc w:val="both"/>
      </w:pPr>
      <w:r>
        <w:rPr>
          <w:rFonts w:ascii="Cambria" w:cs="Cambria" w:eastAsia="Cambria" w:hAnsi="Cambria"/>
          <w:b/>
          <w:bCs/>
          <w:sz w:val="22"/>
          <w:szCs w:val="22"/>
        </w:rPr>
        <w:t xml:space="preserve">Robot réel. </w:t>
      </w:r>
      <w:r>
        <w:rPr>
          <w:rFonts w:ascii="Cambria" w:cs="Cambria" w:eastAsia="Cambria" w:hAnsi="Cambria"/>
          <w:sz w:val="22"/>
          <w:szCs w:val="22"/>
        </w:rPr>
        <w:t xml:space="preserve">Aucun robot physique de la plateforme n'a de doigts ; la main à cinq doigts reste virtuelle tant qu'une main robotique n'est pas reliée.</w:t>
      </w:r>
    </w:p>
    <w:p>
      <w:pPr>
        <w:pStyle w:val="ListParagraph"/>
        <w:numPr>
          <w:ilvl w:val="0"/>
          <w:numId w:val="2"/>
        </w:numPr>
        <w:spacing w:after="60" w:line="288"/>
        <w:jc w:val="both"/>
      </w:pPr>
      <w:r>
        <w:rPr>
          <w:rFonts w:ascii="Cambria" w:cs="Cambria" w:eastAsia="Cambria" w:hAnsi="Cambria"/>
          <w:b/>
          <w:bCs/>
          <w:sz w:val="22"/>
          <w:szCs w:val="22"/>
        </w:rPr>
        <w:t xml:space="preserve">Corps humain. </w:t>
      </w:r>
      <w:r>
        <w:rPr>
          <w:rFonts w:ascii="Cambria" w:cs="Cambria" w:eastAsia="Cambria" w:hAnsi="Cambria"/>
          <w:sz w:val="22"/>
          <w:szCs w:val="22"/>
        </w:rPr>
        <w:t xml:space="preserve">Les ongles ne sont pas modélisés et la peau des doigts peut s'étirer légèrement entre deux phalanges dans les flexions extrêmes (Inférence : effet du mélange linéaire des influences).</w:t>
      </w:r>
    </w:p>
    <w:p>
      <w:pPr>
        <w:pStyle w:val="ListParagraph"/>
        <w:numPr>
          <w:ilvl w:val="0"/>
          <w:numId w:val="2"/>
        </w:numPr>
        <w:spacing w:after="60" w:line="288"/>
        <w:jc w:val="both"/>
      </w:pPr>
      <w:r>
        <w:rPr>
          <w:rFonts w:ascii="Cambria" w:cs="Cambria" w:eastAsia="Cambria" w:hAnsi="Cambria"/>
          <w:b/>
          <w:bCs/>
          <w:sz w:val="22"/>
          <w:szCs w:val="22"/>
        </w:rPr>
        <w:t xml:space="preserve">Partenaire. </w:t>
      </w:r>
      <w:r>
        <w:rPr>
          <w:rFonts w:ascii="Cambria" w:cs="Cambria" w:eastAsia="Cambria" w:hAnsi="Cambria"/>
          <w:sz w:val="22"/>
          <w:szCs w:val="22"/>
        </w:rPr>
        <w:t xml:space="preserve">Le partenaire est une main virtuelle ; aucune personne réelle n'est touchée par le système.</w:t>
      </w:r>
    </w:p>
    <w:p>
      <w:pPr>
        <w:pStyle w:val="Heading1"/>
        <w:keepNext/>
        <w:spacing w:after="120" w:before="280"/>
      </w:pPr>
      <w:r>
        <w:rPr>
          <w:rFonts w:ascii="Cambria" w:cs="Cambria" w:eastAsia="Cambria" w:hAnsi="Cambria"/>
          <w:b/>
          <w:bCs/>
          <w:color w:val="1F2B3A"/>
          <w:sz w:val="28"/>
          <w:szCs w:val="28"/>
        </w:rPr>
        <w:t xml:space="preserve">Ouvrages cités</w:t>
      </w:r>
    </w:p>
    <w:p>
      <w:pPr>
        <w:spacing w:after="100"/>
        <w:ind w:left="720" w:hanging="720"/>
      </w:pPr>
      <w:r>
        <w:rPr>
          <w:rFonts w:ascii="Cambria" w:cs="Cambria" w:eastAsia="Cambria" w:hAnsi="Cambria"/>
          <w:sz w:val="22"/>
          <w:szCs w:val="22"/>
        </w:rPr>
        <w:t xml:space="preserve">Feix, Thomas, et al. « The GRASP Taxonomy of Human Grasp Types. » </w:t>
      </w:r>
      <w:r>
        <w:rPr>
          <w:rFonts w:ascii="Cambria" w:cs="Cambria" w:eastAsia="Cambria" w:hAnsi="Cambria"/>
          <w:i/>
          <w:iCs/>
          <w:sz w:val="22"/>
          <w:szCs w:val="22"/>
        </w:rPr>
        <w:t xml:space="preserve">IEEE Transactions on Human-Machine Systems</w:t>
      </w:r>
      <w:r>
        <w:rPr>
          <w:rFonts w:ascii="Cambria" w:cs="Cambria" w:eastAsia="Cambria" w:hAnsi="Cambria"/>
          <w:sz w:val="22"/>
          <w:szCs w:val="22"/>
        </w:rPr>
        <w:t xml:space="preserve">, vol. 46, no 1, 2016, p. 66-77, https://doi.org/10.1109/THMS.2015.2470657.</w:t>
      </w:r>
    </w:p>
    <w:p>
      <w:pPr>
        <w:spacing w:after="100"/>
        <w:ind w:left="720" w:hanging="720"/>
      </w:pPr>
      <w:r>
        <w:rPr>
          <w:rFonts w:ascii="Cambria" w:cs="Cambria" w:eastAsia="Cambria" w:hAnsi="Cambria"/>
          <w:sz w:val="22"/>
          <w:szCs w:val="22"/>
        </w:rPr>
        <w:t xml:space="preserve">Johansson, Roland S., et Göran Westling. « Signals in Tactile Afferents from the Fingers Eliciting Adaptive Motor Responses during Precision Grip. » </w:t>
      </w:r>
      <w:r>
        <w:rPr>
          <w:rFonts w:ascii="Cambria" w:cs="Cambria" w:eastAsia="Cambria" w:hAnsi="Cambria"/>
          <w:i/>
          <w:iCs/>
          <w:sz w:val="22"/>
          <w:szCs w:val="22"/>
        </w:rPr>
        <w:t xml:space="preserve">Experimental Brain Research</w:t>
      </w:r>
      <w:r>
        <w:rPr>
          <w:rFonts w:ascii="Cambria" w:cs="Cambria" w:eastAsia="Cambria" w:hAnsi="Cambria"/>
          <w:sz w:val="22"/>
          <w:szCs w:val="22"/>
        </w:rPr>
        <w:t xml:space="preserve">, vol. 66, no 1, 1987, p. 141-54, https://doi.org/10.1007/BF00236210.</w:t>
      </w:r>
    </w:p>
    <w:p>
      <w:pPr>
        <w:spacing w:after="100"/>
        <w:ind w:left="720" w:hanging="720"/>
      </w:pPr>
      <w:r>
        <w:rPr>
          <w:rFonts w:ascii="Cambria" w:cs="Cambria" w:eastAsia="Cambria" w:hAnsi="Cambria"/>
          <w:sz w:val="22"/>
          <w:szCs w:val="22"/>
        </w:rPr>
        <w:t xml:space="preserve">« Normal Range of Motion. » </w:t>
      </w:r>
      <w:r>
        <w:rPr>
          <w:rFonts w:ascii="Cambria" w:cs="Cambria" w:eastAsia="Cambria" w:hAnsi="Cambria"/>
          <w:i/>
          <w:iCs/>
          <w:sz w:val="22"/>
          <w:szCs w:val="22"/>
        </w:rPr>
        <w:t xml:space="preserve">Eaton Hand</w:t>
      </w:r>
      <w:r>
        <w:rPr>
          <w:rFonts w:ascii="Cambria" w:cs="Cambria" w:eastAsia="Cambria" w:hAnsi="Cambria"/>
          <w:sz w:val="22"/>
          <w:szCs w:val="22"/>
        </w:rPr>
        <w:t xml:space="preserve">, eatonhand.com/clf/clf218.htm. Consulté le 25 oct. 2026.</w:t>
      </w:r>
    </w:p>
    <w:p>
      <w:pPr>
        <w:spacing w:after="100"/>
        <w:ind w:left="720" w:hanging="720"/>
      </w:pPr>
      <w:r>
        <w:rPr>
          <w:rFonts w:ascii="Cambria" w:cs="Cambria" w:eastAsia="Cambria" w:hAnsi="Cambria"/>
          <w:sz w:val="22"/>
          <w:szCs w:val="22"/>
        </w:rPr>
        <w:t xml:space="preserve">Physiotutors. « Wrist/Hand Active Range of Motion (AROM). » </w:t>
      </w:r>
      <w:r>
        <w:rPr>
          <w:rFonts w:ascii="Cambria" w:cs="Cambria" w:eastAsia="Cambria" w:hAnsi="Cambria"/>
          <w:i/>
          <w:iCs/>
          <w:sz w:val="22"/>
          <w:szCs w:val="22"/>
        </w:rPr>
        <w:t xml:space="preserve">Physiotutors</w:t>
      </w:r>
      <w:r>
        <w:rPr>
          <w:rFonts w:ascii="Cambria" w:cs="Cambria" w:eastAsia="Cambria" w:hAnsi="Cambria"/>
          <w:sz w:val="22"/>
          <w:szCs w:val="22"/>
        </w:rPr>
        <w:t xml:space="preserve">, www.physiotutors.com/wiki/wrist-hand-active-range-of-motion/. Consulté le 25 oct. 2026.</w:t>
      </w:r>
    </w:p>
    <w:p>
      <w:pPr>
        <w:spacing w:after="100"/>
        <w:ind w:left="720" w:hanging="720"/>
      </w:pPr>
      <w:r>
        <w:rPr>
          <w:rFonts w:ascii="Cambria" w:cs="Cambria" w:eastAsia="Cambria" w:hAnsi="Cambria"/>
          <w:sz w:val="22"/>
          <w:szCs w:val="22"/>
        </w:rPr>
        <w:t xml:space="preserve">Rijpkema, Hans, et Michael Girard. « Computer Animation of Knowledge-Based Human Grasping. » </w:t>
      </w:r>
      <w:r>
        <w:rPr>
          <w:rFonts w:ascii="Cambria" w:cs="Cambria" w:eastAsia="Cambria" w:hAnsi="Cambria"/>
          <w:i/>
          <w:iCs/>
          <w:sz w:val="22"/>
          <w:szCs w:val="22"/>
        </w:rPr>
        <w:t xml:space="preserve">Computer Graphics</w:t>
      </w:r>
      <w:r>
        <w:rPr>
          <w:rFonts w:ascii="Cambria" w:cs="Cambria" w:eastAsia="Cambria" w:hAnsi="Cambria"/>
          <w:sz w:val="22"/>
          <w:szCs w:val="22"/>
        </w:rPr>
        <w:t xml:space="preserve">, vol. 25, no 4, 1991, p. 339-48.</w:t>
      </w:r>
    </w:p>
    <w:p>
      <w:pPr>
        <w:spacing w:after="100"/>
        <w:ind w:left="720" w:hanging="720"/>
      </w:pPr>
      <w:r>
        <w:rPr>
          <w:rFonts w:ascii="Cambria" w:cs="Cambria" w:eastAsia="Cambria" w:hAnsi="Cambria"/>
          <w:sz w:val="22"/>
          <w:szCs w:val="22"/>
        </w:rPr>
        <w:t xml:space="preserve">Santello, Marco, et al. « Postural Hand Synergies for Tool Use. » </w:t>
      </w:r>
      <w:r>
        <w:rPr>
          <w:rFonts w:ascii="Cambria" w:cs="Cambria" w:eastAsia="Cambria" w:hAnsi="Cambria"/>
          <w:i/>
          <w:iCs/>
          <w:sz w:val="22"/>
          <w:szCs w:val="22"/>
        </w:rPr>
        <w:t xml:space="preserve">The Journal of Neuroscience</w:t>
      </w:r>
      <w:r>
        <w:rPr>
          <w:rFonts w:ascii="Cambria" w:cs="Cambria" w:eastAsia="Cambria" w:hAnsi="Cambria"/>
          <w:sz w:val="22"/>
          <w:szCs w:val="22"/>
        </w:rPr>
        <w:t xml:space="preserve">, vol. 18, no 23, 1998, p. 10105-15, https://doi.org/10.1523/JNEUROSCI.18-23-10105.1998.</w:t>
      </w:r>
    </w:p>
    <w:p>
      <w:pPr>
        <w:spacing w:after="100"/>
        <w:ind w:left="720" w:hanging="720"/>
      </w:pPr>
      <w:r>
        <w:rPr>
          <w:rFonts w:ascii="Cambria" w:cs="Cambria" w:eastAsia="Cambria" w:hAnsi="Cambria"/>
          <w:sz w:val="22"/>
          <w:szCs w:val="22"/>
        </w:rPr>
        <w:t xml:space="preserve">Westling, Göran, et Roland S. Johansson. « Factors Influencing the Force Control during Precision Grip. » </w:t>
      </w:r>
      <w:r>
        <w:rPr>
          <w:rFonts w:ascii="Cambria" w:cs="Cambria" w:eastAsia="Cambria" w:hAnsi="Cambria"/>
          <w:i/>
          <w:iCs/>
          <w:sz w:val="22"/>
          <w:szCs w:val="22"/>
        </w:rPr>
        <w:t xml:space="preserve">Experimental Brain Research</w:t>
      </w:r>
      <w:r>
        <w:rPr>
          <w:rFonts w:ascii="Cambria" w:cs="Cambria" w:eastAsia="Cambria" w:hAnsi="Cambria"/>
          <w:sz w:val="22"/>
          <w:szCs w:val="22"/>
        </w:rPr>
        <w:t xml:space="preserve">, vol. 53, no 2, 1984, p. 277-84, https://doi.org/10.1007/BF00238156.</w:t>
      </w:r>
    </w:p>
    <w:p>
      <w:pPr>
        <w:spacing w:after="100"/>
        <w:ind w:left="720" w:hanging="720"/>
      </w:pPr>
      <w:r>
        <w:rPr>
          <w:rFonts w:ascii="Cambria" w:cs="Cambria" w:eastAsia="Cambria" w:hAnsi="Cambria"/>
          <w:sz w:val="22"/>
          <w:szCs w:val="22"/>
        </w:rPr>
        <w:t xml:space="preserve">Zatsiorsky, Vladimir M., et al. « Enslaving Effects in Multi-Finger Force Production. » </w:t>
      </w:r>
      <w:r>
        <w:rPr>
          <w:rFonts w:ascii="Cambria" w:cs="Cambria" w:eastAsia="Cambria" w:hAnsi="Cambria"/>
          <w:i/>
          <w:iCs/>
          <w:sz w:val="22"/>
          <w:szCs w:val="22"/>
        </w:rPr>
        <w:t xml:space="preserve">Experimental Brain Research</w:t>
      </w:r>
      <w:r>
        <w:rPr>
          <w:rFonts w:ascii="Cambria" w:cs="Cambria" w:eastAsia="Cambria" w:hAnsi="Cambria"/>
          <w:sz w:val="22"/>
          <w:szCs w:val="22"/>
        </w:rPr>
        <w:t xml:space="preserve">, vol. 131, no 2, 2000, p. 187-95, https://doi.org/10.1007/s002219900261.</w:t>
      </w:r>
    </w:p>
    <w:p>
      <w:pPr>
        <w:spacing w:after="120"/>
      </w:pPr>
      <w:r>
        <w:rPr>
          <w:rFonts w:ascii="Cambria" w:cs="Cambria" w:eastAsia="Cambria" w:hAnsi="Cambria"/>
          <w:i/>
          <w:iCs/>
          <w:color w:val="5F6B7A"/>
          <w:sz w:val="18"/>
          <w:szCs w:val="18"/>
        </w:rPr>
        <w:t xml:space="preserve">Vérifications du 25 octobre 2026 : notices des éditeurs (Springer pour Johansson et Westling, Westling et Johansson ; PubMed Central pour Santello et al. ; Université de l'Arizona pour Zatsiorsky et al.), texte intégral déposé par les auteurs pour Feix et al. et pour Rijpkema et Girard, pages consultées pour Eaton Hand et Physiotutors. Le prénom de Göran Westling et le numéro 1 du volume 66 proviennent de mes données d'entraînement. La page d'Eaton Hand indique une flexion de l'IPP de « 10 », vraisemblablement une coquille ; la borne de l'IPP retient la valeur de Physiotutors.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8C2CF" w:sz="4"/>
              <w:left w:val="single" w:color="B8C2CF" w:sz="4"/>
              <w:bottom w:val="single" w:color="B8C2CF" w:sz="4"/>
              <w:right w:val="single" w:color="B8C2CF" w:sz="4"/>
            </w:tcBorders>
            <w:shd w:fill="EAF4EA" w:color="auto" w:val="clear"/>
            <w:tcMar>
              <w:top w:type="dxa" w:w="120"/>
              <w:left w:type="dxa" w:w="160"/>
              <w:bottom w:type="dxa" w:w="120"/>
              <w:right w:type="dxa" w:w="160"/>
            </w:tcMar>
          </w:tcPr>
          <w:p>
            <w:pPr>
              <w:spacing w:after="100"/>
            </w:pPr>
            <w:r>
              <w:rPr>
                <w:rFonts w:ascii="Cambria" w:cs="Cambria" w:eastAsia="Cambria" w:hAnsi="Cambria"/>
                <w:b/>
                <w:bCs/>
                <w:color w:val="8A5A00"/>
                <w:sz w:val="22"/>
                <w:szCs w:val="22"/>
              </w:rPr>
              <w:t xml:space="preserve">Encadré final — Conformité ISO/IEC 42001 (guide des mains à cinq doigts)</w:t>
            </w:r>
          </w:p>
          <w:p>
            <w:pPr>
              <w:spacing w:after="100" w:line="276"/>
              <w:jc w:val="both"/>
            </w:pPr>
            <w:r>
              <w:rPr>
                <w:rFonts w:ascii="Cambria" w:cs="Cambria" w:eastAsia="Cambria" w:hAnsi="Cambria"/>
                <w:i/>
                <w:iCs/>
                <w:sz w:val="22"/>
                <w:szCs w:val="22"/>
              </w:rPr>
              <w:t xml:space="preserve">Mise en conformité vérifiée le 25 octobre 2026</w:t>
            </w:r>
          </w:p>
          <w:p>
            <w:pPr>
              <w:spacing w:after="100" w:line="276"/>
              <w:jc w:val="both"/>
            </w:pPr>
            <w:r>
              <w:rPr>
                <w:rFonts w:ascii="Cambria" w:cs="Cambria" w:eastAsia="Cambria" w:hAnsi="Cambria"/>
                <w:sz w:val="20"/>
                <w:szCs w:val="20"/>
              </w:rPr>
              <w:t xml:space="preserve">✅ Gouvernance et pilotage — portée arrêtée avec le chercheur avant le code (robot virtuel d'abord, accessoires, corps propre, partenaire, toucher simulé, voix et écrit) ; guide produit à partir du code versionné (commit 919f89d), qui fait foi.</w:t>
            </w:r>
          </w:p>
          <w:p>
            <w:pPr>
              <w:spacing w:after="100" w:line="276"/>
              <w:jc w:val="both"/>
            </w:pPr>
            <w:r>
              <w:rPr>
                <w:rFonts w:ascii="Cambria" w:cs="Cambria" w:eastAsia="Cambria" w:hAnsi="Cambria"/>
                <w:sz w:val="20"/>
                <w:szCs w:val="20"/>
              </w:rPr>
              <w:t xml:space="preserve">✅ Transparence et documentation — fondements cités et vérifiés auprès des éditeurs ; valeurs de conception signalées (Inférence) ; tableaux de contacts, de forces et de consignes produits par le modèle et l'interprète réels, sans retouche.</w:t>
            </w:r>
          </w:p>
          <w:p>
            <w:pPr>
              <w:spacing w:after="100" w:line="276"/>
              <w:jc w:val="both"/>
            </w:pPr>
            <w:r>
              <w:rPr>
                <w:rFonts w:ascii="Cambria" w:cs="Cambria" w:eastAsia="Cambria" w:hAnsi="Cambria"/>
                <w:sz w:val="20"/>
                <w:szCs w:val="20"/>
              </w:rPr>
              <w:t xml:space="preserve">✅ Gestion des risques — force plafonnée sous le seuil de dommage de chaque objet sauf intention explicite ; force maximale bornée ; vocabulaire fermé revalidé par le pont ; la pince réelle ne reçoit que la fermeture globale, sous la couche de sécurité existante.</w:t>
            </w:r>
          </w:p>
          <w:p>
            <w:pPr>
              <w:spacing w:after="100" w:line="276"/>
              <w:jc w:val="both"/>
            </w:pPr>
            <w:r>
              <w:rPr>
                <w:rFonts w:ascii="Cambria" w:cs="Cambria" w:eastAsia="Cambria" w:hAnsi="Cambria"/>
                <w:sz w:val="20"/>
                <w:szCs w:val="20"/>
              </w:rPr>
              <w:t xml:space="preserve">✅ Responsabilité et imputabilité — chaque événement de main (prise, glissement, réflexe, dommage, chute) est consigné au journal ; quinze tests automatisés couvrent la boucle perception-force-mouvement, les poignets et les mains du corps humain.</w:t>
            </w:r>
          </w:p>
          <w:p>
            <w:pPr>
              <w:spacing w:after="100" w:line="276"/>
              <w:jc w:val="both"/>
            </w:pPr>
            <w:r>
              <w:rPr>
                <w:rFonts w:ascii="Cambria" w:cs="Cambria" w:eastAsia="Cambria" w:hAnsi="Cambria"/>
                <w:sz w:val="20"/>
                <w:szCs w:val="20"/>
              </w:rPr>
              <w:t xml:space="preserve">✅ Éthique et parties prenantes — le partenaire touché est virtuel ; le toucher d'une personne réelle par un robot n'est pas pris en charge ; les limites du modèle sont exposées (section 11).</w:t>
            </w:r>
          </w:p>
        </w:tc>
      </w:tr>
    </w:tbl>
    <w:p>
      <w:pPr>
        <w:spacing w:after="120"/>
      </w:pP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5F6B7A"/>
        <w:sz w:val="16"/>
        <w:szCs w:val="16"/>
      </w:rPr>
      <w:t xml:space="preserve">ROBO-SCÈNE · Mains à cinq doigts · v1.1 · 25 oct. 2026 · page </w:t>
    </w:r>
    <w:r>
      <w:rPr>
        <w:rFonts w:ascii="Cambria" w:cs="Cambria" w:eastAsia="Cambria" w:hAnsi="Cambria"/>
        <w:color w:val="5F6B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mbria" w:cs="Cambria" w:eastAsia="Cambria" w:hAnsi="Cambria"/>
      <w:b/>
      <w:bCs/>
      <w:sz w:val="28"/>
      <w:szCs w:val="28"/>
    </w:rPr>
  </w:style>
  <w:style w:type="paragraph" w:styleId="Heading2">
    <w:name w:val="Heading 2"/>
    <w:basedOn w:val="Normal"/>
    <w:next w:val="Normal"/>
    <w:qFormat/>
    <w:pPr>
      <w:outlineLvl w:val="1"/>
    </w:pPr>
    <w:rPr>
      <w:rFonts w:ascii="Cambria" w:cs="Cambria" w:eastAsia="Cambria" w:hAnsi="Cambria"/>
      <w:b/>
      <w:bCs/>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des mains à cinq doigts du robot virtuel</dc:title>
  <dc:creator>Sylvain Gagné, Ph. D.</dc:creator>
  <cp:lastModifiedBy>Un-named</cp:lastModifiedBy>
  <cp:revision>1</cp:revision>
  <dcterms:created xsi:type="dcterms:W3CDTF">2026-10-26T01:29:37.113Z</dcterms:created>
  <dcterms:modified xsi:type="dcterms:W3CDTF">2026-10-26T01:29:37.114Z</dcterms:modified>
</cp:coreProperties>
</file>

<file path=docProps/custom.xml><?xml version="1.0" encoding="utf-8"?>
<Properties xmlns="http://schemas.openxmlformats.org/officeDocument/2006/custom-properties" xmlns:vt="http://schemas.openxmlformats.org/officeDocument/2006/docPropsVTypes"/>
</file>