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8A6224"/>
          <w:sz w:val="18"/>
          <w:szCs w:val="18"/>
        </w:rPr>
        <w:t xml:space="preserve">PILOTAGE · LIVRAISON LOGICIELLE · EXTENSION O-13</w:t>
      </w:r>
    </w:p>
    <w:p>
      <w:pPr>
        <w:spacing w:after="120"/>
      </w:pPr>
      <w:r>
        <w:rPr>
          <w:b/>
          <w:bCs/>
          <w:sz w:val="44"/>
          <w:szCs w:val="44"/>
        </w:rPr>
        <w:t xml:space="preserve">Le drone de scène de ROBO-SCÈNE</w:t>
      </w:r>
    </w:p>
    <w:p>
      <w:pPr>
        <w:spacing w:after="120" w:line="288"/>
        <w:jc w:val="both"/>
      </w:pPr>
      <w:r>
        <w:rPr>
          <w:i/>
          <w:iCs/>
        </w:rPr>
        <w:t xml:space="preserve">Un drone virtuel qui vole dans le théâtre, sur le plateau et dans la salle, une console de vol conçue d'abord pour lui, et une liaison, gardée par le pont, vers un drone réel muni d'une caméra 4K</w:t>
      </w:r>
    </w:p>
    <w:p>
      <w:pPr>
        <w:spacing w:after="120" w:line="288"/>
        <w:jc w:val="both"/>
      </w:pPr>
      <w:r>
        <w:rPr>
          <w:b/>
          <w:bCs/>
        </w:rPr>
        <w:t xml:space="preserve">Projet : </w:t>
      </w:r>
      <w:r>
        <w:t xml:space="preserve">« L'IA au service de la création théâtrale » — recherche indépendante et autofinancée</w:t>
      </w:r>
    </w:p>
    <w:p>
      <w:pPr>
        <w:spacing w:after="120" w:line="288"/>
        <w:jc w:val="both"/>
      </w:pPr>
      <w:r>
        <w:rPr>
          <w:b/>
          <w:bCs/>
        </w:rPr>
        <w:t xml:space="preserve">Auteur : </w:t>
      </w:r>
      <w:r>
        <w:t xml:space="preserve">Sylvain Gagné, Ph. D., chercheur indépendant non affilié et autofinancé (IA, robotique et théâtre)</w:t>
      </w:r>
    </w:p>
    <w:p>
      <w:pPr>
        <w:spacing w:after="120" w:line="288"/>
        <w:jc w:val="both"/>
      </w:pPr>
      <w:r>
        <w:rPr>
          <w:b/>
          <w:bCs/>
        </w:rPr>
        <w:t xml:space="preserve">Version et date : </w:t>
      </w:r>
      <w:r>
        <w:t xml:space="preserve">1.2 — 19 octobre 2026 ; grammaire vocale corrigée (section 2.1 : tours complets, repères propres à chaque robot, ordres enchaînés sans « puis ») ; la version 1.1 avait ajouté le pilotage à la souris, aux flèches et à la voix, la version 1.0 avait inscrit la fonction O-13 dans la table de couverture (59 fonctions)</w:t>
      </w:r>
    </w:p>
    <w:p>
      <w:pPr>
        <w:spacing w:after="120" w:line="288"/>
        <w:jc w:val="both"/>
      </w:pPr>
      <w:r>
        <w:rPr>
          <w:b/>
          <w:bCs/>
        </w:rPr>
        <w:t xml:space="preserve">Dépôt : </w:t>
      </w:r>
      <w:r>
        <w:t xml:space="preserve">Robo-Scène (GitHub, dépôt public) ; page /drone, servie par le pont local et publiable sur Netlify</w:t>
      </w:r>
    </w:p>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F2B544" w:sz="12"/>
              <w:left w:val="single" w:color="B8BEC9" w:sz="4"/>
              <w:bottom w:val="single" w:color="B8BEC9" w:sz="4"/>
              <w:right w:val="single" w:color="B8BEC9" w:sz="4"/>
            </w:tcBorders>
            <w:shd w:fill="EEF2F8" w:color="auto" w:val="clear"/>
            <w:tcMar>
              <w:top w:type="dxa" w:w="120"/>
              <w:left w:type="dxa" w:w="160"/>
              <w:bottom w:type="dxa" w:w="120"/>
              <w:right w:type="dxa" w:w="160"/>
            </w:tcMar>
          </w:tcPr>
          <w:p>
            <w:pPr>
              <w:spacing w:after="100"/>
            </w:pPr>
            <w:r>
              <w:rPr>
                <w:b/>
                <w:bCs/>
              </w:rPr>
              <w:t xml:space="preserve">Convention de lecture</w:t>
            </w:r>
          </w:p>
          <w:p>
            <w:pPr>
              <w:spacing w:after="80" w:line="276"/>
            </w:pPr>
            <w:r>
              <w:rPr>
                <w:sz w:val="20"/>
                <w:szCs w:val="20"/>
              </w:rPr>
              <w:t xml:space="preserve">Les faits tirés de sources externes sont cités dans le texte selon la norme MLA (9e éd.) et repris dans les ouvrages cités ; les faits tirés du code renvoient au fichier concerné, et les états qu'ils décrivent sont vérifiés par les tests automatisés de tests/test_drone.py.</w:t>
            </w:r>
          </w:p>
          <w:p>
            <w:pPr>
              <w:spacing w:after="80" w:line="276"/>
            </w:pPr>
            <w:r>
              <w:rPr>
                <w:sz w:val="20"/>
                <w:szCs w:val="20"/>
              </w:rPr>
              <w:t xml:space="preserve">Toute proposition qui ne découle ni d'une source consultée ni d'un essai exécuté est précédée de la mention (Inférence).</w:t>
            </w:r>
          </w:p>
        </w:tc>
      </w:tr>
    </w:tbl>
    <w:p>
      <w:pPr>
        <w:spacing w:after="100" w:before="200"/>
      </w:pPr>
      <w:r>
        <w:rPr>
          <w:b/>
          <w:bCs/>
          <w:sz w:val="26"/>
          <w:szCs w:val="26"/>
        </w:rPr>
        <w:t xml:space="preserve">Sommaire</w:t>
      </w:r>
    </w:p>
    <w:p>
      <w:pPr>
        <w:spacing w:after="40"/>
        <w:ind w:left="360"/>
      </w:pPr>
      <w:r>
        <w:rPr>
          <w:sz w:val="21"/>
          <w:szCs w:val="21"/>
        </w:rPr>
        <w:t xml:space="preserve">1. Ce qui a été livré</w:t>
      </w:r>
    </w:p>
    <w:p>
      <w:pPr>
        <w:spacing w:after="40"/>
        <w:ind w:left="360"/>
      </w:pPr>
      <w:r>
        <w:rPr>
          <w:sz w:val="21"/>
          <w:szCs w:val="21"/>
        </w:rPr>
        <w:t xml:space="preserve">2. Parcours de la page</w:t>
      </w:r>
    </w:p>
    <w:p>
      <w:pPr>
        <w:spacing w:after="40"/>
        <w:ind w:left="360"/>
      </w:pPr>
      <w:r>
        <w:rPr>
          <w:sz w:val="21"/>
          <w:szCs w:val="21"/>
        </w:rPr>
        <w:t xml:space="preserve">3. Le théâtre et les zones de vol</w:t>
      </w:r>
    </w:p>
    <w:p>
      <w:pPr>
        <w:spacing w:after="40"/>
        <w:ind w:left="360"/>
      </w:pPr>
      <w:r>
        <w:rPr>
          <w:sz w:val="21"/>
          <w:szCs w:val="21"/>
        </w:rPr>
        <w:t xml:space="preserve">4. Le modèle de vol et la conduite</w:t>
      </w:r>
    </w:p>
    <w:p>
      <w:pPr>
        <w:spacing w:after="40"/>
        <w:ind w:left="360"/>
      </w:pPr>
      <w:r>
        <w:rPr>
          <w:sz w:val="21"/>
          <w:szCs w:val="21"/>
        </w:rPr>
        <w:t xml:space="preserve">5. La caméra 4K</w:t>
      </w:r>
    </w:p>
    <w:p>
      <w:pPr>
        <w:spacing w:after="40"/>
        <w:ind w:left="360"/>
      </w:pPr>
      <w:r>
        <w:rPr>
          <w:sz w:val="21"/>
          <w:szCs w:val="21"/>
        </w:rPr>
        <w:t xml:space="preserve">6. Passer au drone réel</w:t>
      </w:r>
    </w:p>
    <w:p>
      <w:pPr>
        <w:spacing w:after="40"/>
        <w:ind w:left="360"/>
      </w:pPr>
      <w:r>
        <w:rPr>
          <w:sz w:val="21"/>
          <w:szCs w:val="21"/>
        </w:rPr>
        <w:t xml:space="preserve">7. Cadre et précédents</w:t>
      </w:r>
    </w:p>
    <w:p>
      <w:pPr>
        <w:spacing w:after="40"/>
        <w:ind w:left="360"/>
      </w:pPr>
      <w:r>
        <w:rPr>
          <w:sz w:val="21"/>
          <w:szCs w:val="21"/>
        </w:rPr>
        <w:t xml:space="preserve">8. Décisions et actions qui vous reviennent</w:t>
      </w:r>
    </w:p>
    <w:p>
      <w:pPr>
        <w:spacing w:after="40"/>
        <w:ind w:left="360"/>
      </w:pPr>
      <w:r>
        <w:rPr>
          <w:sz w:val="21"/>
          <w:szCs w:val="21"/>
        </w:rPr>
        <w:t xml:space="preserve">9. Limites</w:t>
      </w:r>
    </w:p>
    <w:p>
      <w:pPr>
        <w:spacing w:after="40"/>
        <w:ind w:left="360"/>
      </w:pPr>
      <w:r>
        <w:rPr>
          <w:sz w:val="21"/>
          <w:szCs w:val="21"/>
        </w:rPr>
        <w:t xml:space="preserve">Ouvrages cités ; encadré de conformité ISO/IEC 42001</w:t>
      </w:r>
    </w:p>
    <w:p>
      <w:pPr>
        <w:pStyle w:val="Heading1"/>
        <w:spacing w:after="140" w:before="300"/>
      </w:pPr>
      <w:r>
        <w:t xml:space="preserve">1. Ce qui a été livré</w:t>
      </w:r>
    </w:p>
    <w:p>
      <w:pPr>
        <w:spacing w:after="120" w:line="288"/>
        <w:jc w:val="both"/>
      </w:pPr>
      <w:r>
        <w:t xml:space="preserve">La demande portait sur un onglet complet consacré à un drone virtuel destiné à voler sur scène et dans la salle de spectacle, dont la console de contrôle servirait d'abord ce drone virtuel avant de pouvoir être reliée à un drone réel muni d'une caméra HD 4K ; la livraison y répond par une douzième page de la plateforme, /drone, ajoutée à la barre de navigation commune, et par un module du pont, bridge/drone, de sorte que le même geste de régie, celui qui consiste à préparer, valider puis jouer une trajectoire, s'exerce d'abord dans un théâtre simulé avant de franchir, sous conditions, le seuil du matériel.</w:t>
      </w:r>
    </w:p>
    <w:p>
      <w:pPr>
        <w:spacing w:after="120" w:line="288"/>
        <w:jc w:val="both"/>
      </w:pPr>
      <w:r>
        <w:t xml:space="preserve">Il semble utile de dire d'emblée ce qui distingue cette page des autres : le drone virtuel fonctionne entièrement dans le navigateur, sans pont, sur le site en ligne comme en local, tandis que le drone réel ne se commande jamais directement depuis la page, puisque chaque ordre transite par le pont, qui lui applique la même description de la salle, ses propres conditions de vol et ses chiens de garde.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6360"/>
      </w:tblGrid>
      <w:tr>
        <w:trPr>
          <w:tblHeader/>
        </w:trPr>
        <w:tc>
          <w:tcPr>
            <w:tcW w:type="dxa" w:w="3000"/>
            <w:tcBorders>
              <w:top w:val="single" w:color="B8BEC9" w:sz="4"/>
              <w:left w:val="single" w:color="B8BEC9" w:sz="4"/>
              <w:bottom w:val="single" w:color="B8BEC9" w:sz="4"/>
              <w:right w:val="single" w:color="B8BEC9" w:sz="4"/>
            </w:tcBorders>
            <w:shd w:fill="1F2430" w:color="auto" w:val="clear"/>
            <w:tcMar>
              <w:top w:type="dxa" w:w="60"/>
              <w:left w:type="dxa" w:w="100"/>
              <w:bottom w:type="dxa" w:w="60"/>
              <w:right w:type="dxa" w:w="100"/>
            </w:tcMar>
          </w:tcPr>
          <w:p>
            <w:pPr>
              <w:spacing w:after="0"/>
            </w:pPr>
            <w:r>
              <w:rPr>
                <w:b/>
                <w:bCs/>
                <w:color w:val="FFFFFF"/>
                <w:sz w:val="19"/>
                <w:szCs w:val="19"/>
              </w:rPr>
              <w:t xml:space="preserve">Indicateur</w:t>
            </w:r>
          </w:p>
        </w:tc>
        <w:tc>
          <w:tcPr>
            <w:tcW w:type="dxa" w:w="6360"/>
            <w:tcBorders>
              <w:top w:val="single" w:color="B8BEC9" w:sz="4"/>
              <w:left w:val="single" w:color="B8BEC9" w:sz="4"/>
              <w:bottom w:val="single" w:color="B8BEC9" w:sz="4"/>
              <w:right w:val="single" w:color="B8BEC9" w:sz="4"/>
            </w:tcBorders>
            <w:shd w:fill="1F2430" w:color="auto" w:val="clear"/>
            <w:tcMar>
              <w:top w:type="dxa" w:w="60"/>
              <w:left w:type="dxa" w:w="100"/>
              <w:bottom w:type="dxa" w:w="60"/>
              <w:right w:type="dxa" w:w="100"/>
            </w:tcMar>
          </w:tcPr>
          <w:p>
            <w:pPr>
              <w:spacing w:after="0"/>
            </w:pPr>
            <w:r>
              <w:rPr>
                <w:b/>
                <w:bCs/>
                <w:color w:val="FFFFFF"/>
                <w:sz w:val="19"/>
                <w:szCs w:val="19"/>
              </w:rPr>
              <w:t xml:space="preserve">Valeur vérifiée (19 oct. 2026)</w:t>
            </w:r>
          </w:p>
        </w:tc>
      </w:tr>
      <w:tr>
        <w:tc>
          <w:tcPr>
            <w:tcW w:type="dxa" w:w="3000"/>
            <w:tcBorders>
              <w:top w:val="single" w:color="B8BEC9" w:sz="4"/>
              <w:left w:val="single" w:color="B8BEC9" w:sz="4"/>
              <w:bottom w:val="single" w:color="B8BEC9" w:sz="4"/>
              <w:right w:val="single" w:color="B8BEC9" w:sz="4"/>
            </w:tcBorders>
            <w:tcMar>
              <w:top w:type="dxa" w:w="60"/>
              <w:left w:type="dxa" w:w="100"/>
              <w:bottom w:type="dxa" w:w="60"/>
              <w:right w:type="dxa" w:w="100"/>
            </w:tcMar>
          </w:tcPr>
          <w:p>
            <w:pPr>
              <w:spacing w:after="0"/>
            </w:pPr>
            <w:r>
              <w:rPr>
                <w:b w:val="false"/>
                <w:bCs w:val="false"/>
                <w:sz w:val="19"/>
                <w:szCs w:val="19"/>
              </w:rPr>
              <w:t xml:space="preserve">Fichiers ajoutés</w:t>
            </w:r>
          </w:p>
        </w:tc>
        <w:tc>
          <w:tcPr>
            <w:tcW w:type="dxa" w:w="6360"/>
            <w:tcBorders>
              <w:top w:val="single" w:color="B8BEC9" w:sz="4"/>
              <w:left w:val="single" w:color="B8BEC9" w:sz="4"/>
              <w:bottom w:val="single" w:color="B8BEC9" w:sz="4"/>
              <w:right w:val="single" w:color="B8BEC9" w:sz="4"/>
            </w:tcBorders>
            <w:tcMar>
              <w:top w:type="dxa" w:w="60"/>
              <w:left w:type="dxa" w:w="100"/>
              <w:bottom w:type="dxa" w:w="60"/>
              <w:right w:type="dxa" w:w="100"/>
            </w:tcMar>
          </w:tcPr>
          <w:p>
            <w:pPr>
              <w:spacing w:after="0"/>
            </w:pPr>
            <w:r>
              <w:rPr>
                <w:b w:val="false"/>
                <w:bCs w:val="false"/>
                <w:sz w:val="19"/>
                <w:szCs w:val="19"/>
              </w:rPr>
              <w:t xml:space="preserve">web/drone.html ; web/drone/ (app, théâtre 3D, vol, conduite, zones, caméra 4K, salle.json, styles) ; bridge/drone/ (zones, adaptateurs, contrôleur) ; tests/test_drone.py</w:t>
            </w:r>
          </w:p>
        </w:tc>
      </w:tr>
      <w:tr>
        <w:tc>
          <w:tcPr>
            <w:tcW w:type="dxa" w:w="3000"/>
            <w:tcBorders>
              <w:top w:val="single" w:color="B8BEC9" w:sz="4"/>
              <w:left w:val="single" w:color="B8BEC9" w:sz="4"/>
              <w:bottom w:val="single" w:color="B8BEC9" w:sz="4"/>
              <w:right w:val="single" w:color="B8BEC9" w:sz="4"/>
            </w:tcBorders>
            <w:tcMar>
              <w:top w:type="dxa" w:w="60"/>
              <w:left w:type="dxa" w:w="100"/>
              <w:bottom w:type="dxa" w:w="60"/>
              <w:right w:type="dxa" w:w="100"/>
            </w:tcMar>
          </w:tcPr>
          <w:p>
            <w:pPr>
              <w:spacing w:after="0"/>
            </w:pPr>
            <w:r>
              <w:rPr>
                <w:b w:val="false"/>
                <w:bCs w:val="false"/>
                <w:sz w:val="19"/>
                <w:szCs w:val="19"/>
              </w:rPr>
              <w:t xml:space="preserve">Fonction de la table de couverture</w:t>
            </w:r>
          </w:p>
        </w:tc>
        <w:tc>
          <w:tcPr>
            <w:tcW w:type="dxa" w:w="6360"/>
            <w:tcBorders>
              <w:top w:val="single" w:color="B8BEC9" w:sz="4"/>
              <w:left w:val="single" w:color="B8BEC9" w:sz="4"/>
              <w:bottom w:val="single" w:color="B8BEC9" w:sz="4"/>
              <w:right w:val="single" w:color="B8BEC9" w:sz="4"/>
            </w:tcBorders>
            <w:tcMar>
              <w:top w:type="dxa" w:w="60"/>
              <w:left w:type="dxa" w:w="100"/>
              <w:bottom w:type="dxa" w:w="60"/>
              <w:right w:type="dxa" w:w="100"/>
            </w:tcMar>
          </w:tcPr>
          <w:p>
            <w:pPr>
              <w:spacing w:after="0"/>
            </w:pPr>
            <w:r>
              <w:rPr>
                <w:b w:val="false"/>
                <w:bCs w:val="false"/>
                <w:sz w:val="19"/>
                <w:szCs w:val="19"/>
              </w:rPr>
              <w:t xml:space="preserve">O-13 « Drone de scène », état « réalisé, à éprouver » (matériel et salle réelle requis)</w:t>
            </w:r>
          </w:p>
        </w:tc>
      </w:tr>
      <w:tr>
        <w:tc>
          <w:tcPr>
            <w:tcW w:type="dxa" w:w="3000"/>
            <w:tcBorders>
              <w:top w:val="single" w:color="B8BEC9" w:sz="4"/>
              <w:left w:val="single" w:color="B8BEC9" w:sz="4"/>
              <w:bottom w:val="single" w:color="B8BEC9" w:sz="4"/>
              <w:right w:val="single" w:color="B8BEC9" w:sz="4"/>
            </w:tcBorders>
            <w:tcMar>
              <w:top w:type="dxa" w:w="60"/>
              <w:left w:type="dxa" w:w="100"/>
              <w:bottom w:type="dxa" w:w="60"/>
              <w:right w:type="dxa" w:w="100"/>
            </w:tcMar>
          </w:tcPr>
          <w:p>
            <w:pPr>
              <w:spacing w:after="0"/>
            </w:pPr>
            <w:r>
              <w:rPr>
                <w:b w:val="false"/>
                <w:bCs w:val="false"/>
                <w:sz w:val="19"/>
                <w:szCs w:val="19"/>
              </w:rPr>
              <w:t xml:space="preserve">Tests du drone</w:t>
            </w:r>
          </w:p>
        </w:tc>
        <w:tc>
          <w:tcPr>
            <w:tcW w:type="dxa" w:w="6360"/>
            <w:tcBorders>
              <w:top w:val="single" w:color="B8BEC9" w:sz="4"/>
              <w:left w:val="single" w:color="B8BEC9" w:sz="4"/>
              <w:bottom w:val="single" w:color="B8BEC9" w:sz="4"/>
              <w:right w:val="single" w:color="B8BEC9" w:sz="4"/>
            </w:tcBorders>
            <w:tcMar>
              <w:top w:type="dxa" w:w="60"/>
              <w:left w:type="dxa" w:w="100"/>
              <w:bottom w:type="dxa" w:w="60"/>
              <w:right w:type="dxa" w:w="100"/>
            </w:tcMar>
          </w:tcPr>
          <w:p>
            <w:pPr>
              <w:spacing w:after="0"/>
            </w:pPr>
            <w:r>
              <w:rPr>
                <w:b w:val="false"/>
                <w:bCs w:val="false"/>
                <w:sz w:val="19"/>
                <w:szCs w:val="19"/>
              </w:rPr>
              <w:t xml:space="preserve">12 réussis (parité des zones sur 3 000 points × 3 modes, vol simulé de toute la conduite, mur virtuel, ARRÊT, coupure, batterie, perte de liaison, pont, chien de garde, conditions du vol réel, Tello et MAVLink contre des appareils factices)</w:t>
            </w:r>
          </w:p>
        </w:tc>
      </w:tr>
      <w:tr>
        <w:tc>
          <w:tcPr>
            <w:tcW w:type="dxa" w:w="3000"/>
            <w:tcBorders>
              <w:top w:val="single" w:color="B8BEC9" w:sz="4"/>
              <w:left w:val="single" w:color="B8BEC9" w:sz="4"/>
              <w:bottom w:val="single" w:color="B8BEC9" w:sz="4"/>
              <w:right w:val="single" w:color="B8BEC9" w:sz="4"/>
            </w:tcBorders>
            <w:tcMar>
              <w:top w:type="dxa" w:w="60"/>
              <w:left w:type="dxa" w:w="100"/>
              <w:bottom w:type="dxa" w:w="60"/>
              <w:right w:type="dxa" w:w="100"/>
            </w:tcMar>
          </w:tcPr>
          <w:p>
            <w:pPr>
              <w:spacing w:after="0"/>
            </w:pPr>
            <w:r>
              <w:rPr>
                <w:b w:val="false"/>
                <w:bCs w:val="false"/>
                <w:sz w:val="19"/>
                <w:szCs w:val="19"/>
              </w:rPr>
              <w:t xml:space="preserve">Suite complète</w:t>
            </w:r>
          </w:p>
        </w:tc>
        <w:tc>
          <w:tcPr>
            <w:tcW w:type="dxa" w:w="6360"/>
            <w:tcBorders>
              <w:top w:val="single" w:color="B8BEC9" w:sz="4"/>
              <w:left w:val="single" w:color="B8BEC9" w:sz="4"/>
              <w:bottom w:val="single" w:color="B8BEC9" w:sz="4"/>
              <w:right w:val="single" w:color="B8BEC9" w:sz="4"/>
            </w:tcBorders>
            <w:tcMar>
              <w:top w:type="dxa" w:w="60"/>
              <w:left w:type="dxa" w:w="100"/>
              <w:bottom w:type="dxa" w:w="60"/>
              <w:right w:type="dxa" w:w="100"/>
            </w:tcMar>
          </w:tcPr>
          <w:p>
            <w:pPr>
              <w:spacing w:after="0"/>
            </w:pPr>
            <w:r>
              <w:rPr>
                <w:b w:val="false"/>
                <w:bCs w:val="false"/>
                <w:sz w:val="19"/>
                <w:szCs w:val="19"/>
              </w:rPr>
              <w:t xml:space="preserve">Réussie sur l'environnement de travail (3 essais ignorés, faute des index locaux du partenaire, comme auparavant)</w:t>
            </w:r>
          </w:p>
        </w:tc>
      </w:tr>
      <w:tr>
        <w:tc>
          <w:tcPr>
            <w:tcW w:type="dxa" w:w="3000"/>
            <w:tcBorders>
              <w:top w:val="single" w:color="B8BEC9" w:sz="4"/>
              <w:left w:val="single" w:color="B8BEC9" w:sz="4"/>
              <w:bottom w:val="single" w:color="B8BEC9" w:sz="4"/>
              <w:right w:val="single" w:color="B8BEC9" w:sz="4"/>
            </w:tcBorders>
            <w:tcMar>
              <w:top w:type="dxa" w:w="60"/>
              <w:left w:type="dxa" w:w="100"/>
              <w:bottom w:type="dxa" w:w="60"/>
              <w:right w:type="dxa" w:w="100"/>
            </w:tcMar>
          </w:tcPr>
          <w:p>
            <w:pPr>
              <w:spacing w:after="0"/>
            </w:pPr>
            <w:r>
              <w:rPr>
                <w:b w:val="false"/>
                <w:bCs w:val="false"/>
                <w:sz w:val="19"/>
                <w:szCs w:val="19"/>
              </w:rPr>
              <w:t xml:space="preserve">Essais dans un navigateur</w:t>
            </w:r>
          </w:p>
        </w:tc>
        <w:tc>
          <w:tcPr>
            <w:tcW w:type="dxa" w:w="6360"/>
            <w:tcBorders>
              <w:top w:val="single" w:color="B8BEC9" w:sz="4"/>
              <w:left w:val="single" w:color="B8BEC9" w:sz="4"/>
              <w:bottom w:val="single" w:color="B8BEC9" w:sz="4"/>
              <w:right w:val="single" w:color="B8BEC9" w:sz="4"/>
            </w:tcBorders>
            <w:tcMar>
              <w:top w:type="dxa" w:w="60"/>
              <w:left w:type="dxa" w:w="100"/>
              <w:bottom w:type="dxa" w:w="60"/>
              <w:right w:type="dxa" w:w="100"/>
            </w:tcMar>
          </w:tcPr>
          <w:p>
            <w:pPr>
              <w:spacing w:after="0"/>
            </w:pPr>
            <w:r>
              <w:rPr>
                <w:b w:val="false"/>
                <w:bCs w:val="false"/>
                <w:sz w:val="19"/>
                <w:szCs w:val="19"/>
              </w:rPr>
              <w:t xml:space="preserve">Chromium sans écran : page chargée sans erreur, conduite jouée, liaison au drone simulé du pont, ARRÊT global, image virtuelle exportée à 3840 × 2160</w:t>
            </w:r>
          </w:p>
        </w:tc>
      </w:tr>
    </w:tbl>
    <w:p>
      <w:pPr>
        <w:pStyle w:val="Heading1"/>
        <w:spacing w:after="140" w:before="300"/>
      </w:pPr>
      <w:r>
        <w:t xml:space="preserve">2. Parcours de la page</w:t>
      </w:r>
    </w:p>
    <w:p>
      <w:pPr>
        <w:spacing w:after="120" w:line="288"/>
        <w:jc w:val="both"/>
      </w:pPr>
      <w:r>
        <w:t xml:space="preserve">La page reprend la composition du robot virtuel, une scène en trois dimensions à gauche et un panneau de commandes à onglets à droite, à laquelle s'ajoute une vignette, dans l'angle de la scène, qui montre en permanence ce que voit la caméra embarquée ; la vignette s'agrandit d'un clic et disparaît en mode scène.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00"/>
        <w:gridCol w:w="7660"/>
      </w:tblGrid>
      <w:tr>
        <w:trPr>
          <w:tblHeader/>
        </w:trPr>
        <w:tc>
          <w:tcPr>
            <w:tcW w:type="dxa" w:w="1700"/>
            <w:tcBorders>
              <w:top w:val="single" w:color="B8BEC9" w:sz="4"/>
              <w:left w:val="single" w:color="B8BEC9" w:sz="4"/>
              <w:bottom w:val="single" w:color="B8BEC9" w:sz="4"/>
              <w:right w:val="single" w:color="B8BEC9" w:sz="4"/>
            </w:tcBorders>
            <w:shd w:fill="1F2430" w:color="auto" w:val="clear"/>
            <w:tcMar>
              <w:top w:type="dxa" w:w="60"/>
              <w:left w:type="dxa" w:w="100"/>
              <w:bottom w:type="dxa" w:w="60"/>
              <w:right w:type="dxa" w:w="100"/>
            </w:tcMar>
          </w:tcPr>
          <w:p>
            <w:pPr>
              <w:spacing w:after="0"/>
            </w:pPr>
            <w:r>
              <w:rPr>
                <w:b/>
                <w:bCs/>
                <w:color w:val="FFFFFF"/>
                <w:sz w:val="19"/>
                <w:szCs w:val="19"/>
              </w:rPr>
              <w:t xml:space="preserve">Onglet</w:t>
            </w:r>
          </w:p>
        </w:tc>
        <w:tc>
          <w:tcPr>
            <w:tcW w:type="dxa" w:w="7660"/>
            <w:tcBorders>
              <w:top w:val="single" w:color="B8BEC9" w:sz="4"/>
              <w:left w:val="single" w:color="B8BEC9" w:sz="4"/>
              <w:bottom w:val="single" w:color="B8BEC9" w:sz="4"/>
              <w:right w:val="single" w:color="B8BEC9" w:sz="4"/>
            </w:tcBorders>
            <w:shd w:fill="1F2430" w:color="auto" w:val="clear"/>
            <w:tcMar>
              <w:top w:type="dxa" w:w="60"/>
              <w:left w:type="dxa" w:w="100"/>
              <w:bottom w:type="dxa" w:w="60"/>
              <w:right w:type="dxa" w:w="100"/>
            </w:tcMar>
          </w:tcPr>
          <w:p>
            <w:pPr>
              <w:spacing w:after="0"/>
            </w:pPr>
            <w:r>
              <w:rPr>
                <w:b/>
                <w:bCs/>
                <w:color w:val="FFFFFF"/>
                <w:sz w:val="19"/>
                <w:szCs w:val="19"/>
              </w:rPr>
              <w:t xml:space="preserve">Contenu</w:t>
            </w:r>
          </w:p>
        </w:tc>
      </w:tr>
      <w:tr>
        <w:tc>
          <w:tcPr>
            <w:tcW w:type="dxa" w:w="1700"/>
            <w:tcBorders>
              <w:top w:val="single" w:color="B8BEC9" w:sz="4"/>
              <w:left w:val="single" w:color="B8BEC9" w:sz="4"/>
              <w:bottom w:val="single" w:color="B8BEC9" w:sz="4"/>
              <w:right w:val="single" w:color="B8BEC9" w:sz="4"/>
            </w:tcBorders>
            <w:tcMar>
              <w:top w:type="dxa" w:w="60"/>
              <w:left w:type="dxa" w:w="100"/>
              <w:bottom w:type="dxa" w:w="60"/>
              <w:right w:type="dxa" w:w="100"/>
            </w:tcMar>
          </w:tcPr>
          <w:p>
            <w:pPr>
              <w:spacing w:after="0"/>
            </w:pPr>
            <w:r>
              <w:rPr>
                <w:b w:val="false"/>
                <w:bCs w:val="false"/>
                <w:sz w:val="19"/>
                <w:szCs w:val="19"/>
              </w:rPr>
              <w:t xml:space="preserve">Vol</w:t>
            </w:r>
          </w:p>
        </w:tc>
        <w:tc>
          <w:tcPr>
            <w:tcW w:type="dxa" w:w="7660"/>
            <w:tcBorders>
              <w:top w:val="single" w:color="B8BEC9" w:sz="4"/>
              <w:left w:val="single" w:color="B8BEC9" w:sz="4"/>
              <w:bottom w:val="single" w:color="B8BEC9" w:sz="4"/>
              <w:right w:val="single" w:color="B8BEC9" w:sz="4"/>
            </w:tcBorders>
            <w:tcMar>
              <w:top w:type="dxa" w:w="60"/>
              <w:left w:type="dxa" w:w="100"/>
              <w:bottom w:type="dxa" w:w="60"/>
              <w:right w:type="dxa" w:w="100"/>
            </w:tcMar>
          </w:tcPr>
          <w:p>
            <w:pPr>
              <w:spacing w:after="0"/>
            </w:pPr>
            <w:r>
              <w:rPr>
                <w:b w:val="false"/>
                <w:bCs w:val="false"/>
                <w:sz w:val="19"/>
                <w:szCs w:val="19"/>
              </w:rPr>
              <w:t xml:space="preserve">Destination des commandes (drone virtuel, ou drone réel dont le virtuel devient le jumeau) ; décoller, stationnaire, atterrir, retour à l'aire, réarmer ; deux manettes à l'écran en mode 2 ; clavier et manette de jeu ; aller à un repère nommé ou au point cliqué ; couronne de DEL ; coupure des moteurs confirmée par la saisie de « COUPER ».</w:t>
            </w:r>
          </w:p>
        </w:tc>
      </w:tr>
      <w:tr>
        <w:tc>
          <w:tcPr>
            <w:tcW w:type="dxa" w:w="1700"/>
            <w:tcBorders>
              <w:top w:val="single" w:color="B8BEC9" w:sz="4"/>
              <w:left w:val="single" w:color="B8BEC9" w:sz="4"/>
              <w:bottom w:val="single" w:color="B8BEC9" w:sz="4"/>
              <w:right w:val="single" w:color="B8BEC9" w:sz="4"/>
            </w:tcBorders>
            <w:tcMar>
              <w:top w:type="dxa" w:w="60"/>
              <w:left w:type="dxa" w:w="100"/>
              <w:bottom w:type="dxa" w:w="60"/>
              <w:right w:type="dxa" w:w="100"/>
            </w:tcMar>
          </w:tcPr>
          <w:p>
            <w:pPr>
              <w:spacing w:after="0"/>
            </w:pPr>
            <w:r>
              <w:rPr>
                <w:b w:val="false"/>
                <w:bCs w:val="false"/>
                <w:sz w:val="19"/>
                <w:szCs w:val="19"/>
              </w:rPr>
              <w:t xml:space="preserve">Conduite</w:t>
            </w:r>
          </w:p>
        </w:tc>
        <w:tc>
          <w:tcPr>
            <w:tcW w:type="dxa" w:w="7660"/>
            <w:tcBorders>
              <w:top w:val="single" w:color="B8BEC9" w:sz="4"/>
              <w:left w:val="single" w:color="B8BEC9" w:sz="4"/>
              <w:bottom w:val="single" w:color="B8BEC9" w:sz="4"/>
              <w:right w:val="single" w:color="B8BEC9" w:sz="4"/>
            </w:tcBorders>
            <w:tcMar>
              <w:top w:type="dxa" w:w="60"/>
              <w:left w:type="dxa" w:w="100"/>
              <w:bottom w:type="dxa" w:w="60"/>
              <w:right w:type="dxa" w:w="100"/>
            </w:tcMar>
          </w:tcPr>
          <w:p>
            <w:pPr>
              <w:spacing w:after="0"/>
            </w:pPr>
            <w:r>
              <w:rPr>
                <w:b w:val="false"/>
                <w:bCs w:val="false"/>
                <w:sz w:val="19"/>
                <w:szCs w:val="19"/>
              </w:rPr>
              <w:t xml:space="preserve">Liste de repères jouée au GO (touche Entrée) ou d'affilée : décoller, aller, stationnaire, atterrir, chacun avec durée, lacet, visée de la caméra et couleur ; bilan de validation ; import et export JSON.</w:t>
            </w:r>
          </w:p>
        </w:tc>
      </w:tr>
      <w:tr>
        <w:tc>
          <w:tcPr>
            <w:tcW w:type="dxa" w:w="1700"/>
            <w:tcBorders>
              <w:top w:val="single" w:color="B8BEC9" w:sz="4"/>
              <w:left w:val="single" w:color="B8BEC9" w:sz="4"/>
              <w:bottom w:val="single" w:color="B8BEC9" w:sz="4"/>
              <w:right w:val="single" w:color="B8BEC9" w:sz="4"/>
            </w:tcBorders>
            <w:tcMar>
              <w:top w:type="dxa" w:w="60"/>
              <w:left w:type="dxa" w:w="100"/>
              <w:bottom w:type="dxa" w:w="60"/>
              <w:right w:type="dxa" w:w="100"/>
            </w:tcMar>
          </w:tcPr>
          <w:p>
            <w:pPr>
              <w:spacing w:after="0"/>
            </w:pPr>
            <w:r>
              <w:rPr>
                <w:b w:val="false"/>
                <w:bCs w:val="false"/>
                <w:sz w:val="19"/>
                <w:szCs w:val="19"/>
              </w:rPr>
              <w:t xml:space="preserve">Caméra 4K</w:t>
            </w:r>
          </w:p>
        </w:tc>
        <w:tc>
          <w:tcPr>
            <w:tcW w:type="dxa" w:w="7660"/>
            <w:tcBorders>
              <w:top w:val="single" w:color="B8BEC9" w:sz="4"/>
              <w:left w:val="single" w:color="B8BEC9" w:sz="4"/>
              <w:bottom w:val="single" w:color="B8BEC9" w:sz="4"/>
              <w:right w:val="single" w:color="B8BEC9" w:sz="4"/>
            </w:tcBorders>
            <w:tcMar>
              <w:top w:type="dxa" w:w="60"/>
              <w:left w:type="dxa" w:w="100"/>
              <w:bottom w:type="dxa" w:w="60"/>
              <w:right w:type="dxa" w:w="100"/>
            </w:tcMar>
          </w:tcPr>
          <w:p>
            <w:pPr>
              <w:spacing w:after="0"/>
            </w:pPr>
            <w:r>
              <w:rPr>
                <w:b w:val="false"/>
                <w:bCs w:val="false"/>
                <w:sz w:val="19"/>
                <w:szCs w:val="19"/>
              </w:rPr>
              <w:t xml:space="preserve">Caméra virtuelle (tangage de la nacelle, zoom, visée d'un repère, grille des tiers, image fixe à 3840 × 2160, enregistrement WebM) ; caméra réelle par carte de capture HDMI ou par WebRTC (WHEP) ; affichage superposé pour caler le jumeau.</w:t>
            </w:r>
          </w:p>
        </w:tc>
      </w:tr>
      <w:tr>
        <w:tc>
          <w:tcPr>
            <w:tcW w:type="dxa" w:w="1700"/>
            <w:tcBorders>
              <w:top w:val="single" w:color="B8BEC9" w:sz="4"/>
              <w:left w:val="single" w:color="B8BEC9" w:sz="4"/>
              <w:bottom w:val="single" w:color="B8BEC9" w:sz="4"/>
              <w:right w:val="single" w:color="B8BEC9" w:sz="4"/>
            </w:tcBorders>
            <w:tcMar>
              <w:top w:type="dxa" w:w="60"/>
              <w:left w:type="dxa" w:w="100"/>
              <w:bottom w:type="dxa" w:w="60"/>
              <w:right w:type="dxa" w:w="100"/>
            </w:tcMar>
          </w:tcPr>
          <w:p>
            <w:pPr>
              <w:spacing w:after="0"/>
            </w:pPr>
            <w:r>
              <w:rPr>
                <w:b w:val="false"/>
                <w:bCs w:val="false"/>
                <w:sz w:val="19"/>
                <w:szCs w:val="19"/>
              </w:rPr>
              <w:t xml:space="preserve">Zones</w:t>
            </w:r>
          </w:p>
        </w:tc>
        <w:tc>
          <w:tcPr>
            <w:tcW w:type="dxa" w:w="7660"/>
            <w:tcBorders>
              <w:top w:val="single" w:color="B8BEC9" w:sz="4"/>
              <w:left w:val="single" w:color="B8BEC9" w:sz="4"/>
              <w:bottom w:val="single" w:color="B8BEC9" w:sz="4"/>
              <w:right w:val="single" w:color="B8BEC9" w:sz="4"/>
            </w:tcBorders>
            <w:tcMar>
              <w:top w:type="dxa" w:w="60"/>
              <w:left w:type="dxa" w:w="100"/>
              <w:bottom w:type="dxa" w:w="60"/>
              <w:right w:type="dxa" w:w="100"/>
            </w:tcMar>
          </w:tcPr>
          <w:p>
            <w:pPr>
              <w:spacing w:after="0"/>
            </w:pPr>
            <w:r>
              <w:rPr>
                <w:b w:val="false"/>
                <w:bCs w:val="false"/>
                <w:sz w:val="19"/>
                <w:szCs w:val="19"/>
              </w:rPr>
              <w:t xml:space="preserve">Trois modes de vol, interprètes placés d'un clic, règles chiffrées de salle.json, vérification d'un point quelconque.</w:t>
            </w:r>
          </w:p>
        </w:tc>
      </w:tr>
      <w:tr>
        <w:tc>
          <w:tcPr>
            <w:tcW w:type="dxa" w:w="1700"/>
            <w:tcBorders>
              <w:top w:val="single" w:color="B8BEC9" w:sz="4"/>
              <w:left w:val="single" w:color="B8BEC9" w:sz="4"/>
              <w:bottom w:val="single" w:color="B8BEC9" w:sz="4"/>
              <w:right w:val="single" w:color="B8BEC9" w:sz="4"/>
            </w:tcBorders>
            <w:tcMar>
              <w:top w:type="dxa" w:w="60"/>
              <w:left w:type="dxa" w:w="100"/>
              <w:bottom w:type="dxa" w:w="60"/>
              <w:right w:type="dxa" w:w="100"/>
            </w:tcMar>
          </w:tcPr>
          <w:p>
            <w:pPr>
              <w:spacing w:after="0"/>
            </w:pPr>
            <w:r>
              <w:rPr>
                <w:b w:val="false"/>
                <w:bCs w:val="false"/>
                <w:sz w:val="19"/>
                <w:szCs w:val="19"/>
              </w:rPr>
              <w:t xml:space="preserve">Drone réel</w:t>
            </w:r>
          </w:p>
        </w:tc>
        <w:tc>
          <w:tcPr>
            <w:tcW w:type="dxa" w:w="7660"/>
            <w:tcBorders>
              <w:top w:val="single" w:color="B8BEC9" w:sz="4"/>
              <w:left w:val="single" w:color="B8BEC9" w:sz="4"/>
              <w:bottom w:val="single" w:color="B8BEC9" w:sz="4"/>
              <w:right w:val="single" w:color="B8BEC9" w:sz="4"/>
            </w:tcBorders>
            <w:tcMar>
              <w:top w:type="dxa" w:w="60"/>
              <w:left w:type="dxa" w:w="100"/>
              <w:bottom w:type="dxa" w:w="60"/>
              <w:right w:type="dxa" w:w="100"/>
            </w:tcMar>
          </w:tcPr>
          <w:p>
            <w:pPr>
              <w:spacing w:after="0"/>
            </w:pPr>
            <w:r>
              <w:rPr>
                <w:b w:val="false"/>
                <w:bCs w:val="false"/>
                <w:sz w:val="19"/>
                <w:szCs w:val="19"/>
              </w:rPr>
              <w:t xml:space="preserve">Choix de l'adaptateur du pont, conditions du vol réel en pastilles, liste de contrôle avant vol à signer, télémétrie.</w:t>
            </w:r>
          </w:p>
        </w:tc>
      </w:tr>
      <w:tr>
        <w:tc>
          <w:tcPr>
            <w:tcW w:type="dxa" w:w="1700"/>
            <w:tcBorders>
              <w:top w:val="single" w:color="B8BEC9" w:sz="4"/>
              <w:left w:val="single" w:color="B8BEC9" w:sz="4"/>
              <w:bottom w:val="single" w:color="B8BEC9" w:sz="4"/>
              <w:right w:val="single" w:color="B8BEC9" w:sz="4"/>
            </w:tcBorders>
            <w:tcMar>
              <w:top w:type="dxa" w:w="60"/>
              <w:left w:type="dxa" w:w="100"/>
              <w:bottom w:type="dxa" w:w="60"/>
              <w:right w:type="dxa" w:w="100"/>
            </w:tcMar>
          </w:tcPr>
          <w:p>
            <w:pPr>
              <w:spacing w:after="0"/>
            </w:pPr>
            <w:r>
              <w:rPr>
                <w:b w:val="false"/>
                <w:bCs w:val="false"/>
                <w:sz w:val="19"/>
                <w:szCs w:val="19"/>
              </w:rPr>
              <w:t xml:space="preserve">Journal</w:t>
            </w:r>
          </w:p>
        </w:tc>
        <w:tc>
          <w:tcPr>
            <w:tcW w:type="dxa" w:w="7660"/>
            <w:tcBorders>
              <w:top w:val="single" w:color="B8BEC9" w:sz="4"/>
              <w:left w:val="single" w:color="B8BEC9" w:sz="4"/>
              <w:bottom w:val="single" w:color="B8BEC9" w:sz="4"/>
              <w:right w:val="single" w:color="B8BEC9" w:sz="4"/>
            </w:tcBorders>
            <w:tcMar>
              <w:top w:type="dxa" w:w="60"/>
              <w:left w:type="dxa" w:w="100"/>
              <w:bottom w:type="dxa" w:w="60"/>
              <w:right w:type="dxa" w:w="100"/>
            </w:tcMar>
          </w:tcPr>
          <w:p>
            <w:pPr>
              <w:spacing w:after="0"/>
            </w:pPr>
            <w:r>
              <w:rPr>
                <w:b w:val="false"/>
                <w:bCs w:val="false"/>
                <w:sz w:val="19"/>
                <w:szCs w:val="19"/>
              </w:rPr>
              <w:t xml:space="preserve">Événements, refus et alertes de la page et du pont ; export JSON nommé [DATE]_[SYSTÈME]_VOL_[NUMÉRO], sans aucune image.</w:t>
            </w:r>
          </w:p>
        </w:tc>
      </w:tr>
    </w:tbl>
    <w:p>
      <w:pPr>
        <w:spacing w:after="60"/>
      </w:pPr>
    </w:p>
    <w:p>
      <w:pPr>
        <w:spacing w:after="120" w:line="288"/>
        <w:jc w:val="both"/>
      </w:pPr>
      <w:r>
        <w:t xml:space="preserve">Les points de vue proposés (régie, salle, plateau, cour, lointain, dessus, poursuite) répondent à des besoins distincts de la régie : la vue de régie restitue la place de l'opératrice, la vue de salle celle d'un spectateur du parterre, et la poursuite, qui suit le drone par l'arrière, sert au pilotage fin ; un projecteur de poursuite, tiré depuis la salle, peut en outre accompagner l'appareil, ce qui permet d'éprouver la lecture lumineuse d'une trajectoire avant toute répétition.</w:t>
      </w:r>
    </w:p>
    <w:p>
      <w:pPr>
        <w:pStyle w:val="Heading2"/>
        <w:spacing w:after="100" w:before="200"/>
      </w:pPr>
      <w:r>
        <w:t xml:space="preserve">2.1 Souris, flèches et voix (versions 1.1 et 1.2)</w:t>
      </w:r>
    </w:p>
    <w:p>
      <w:pPr>
        <w:spacing w:after="120" w:line="288"/>
        <w:jc w:val="both"/>
      </w:pPr>
      <w:r>
        <w:t xml:space="preserve">La version 1.1 ajoute trois manières de déplacer le drone, qui s'ajoutent aux manettes à l'écran, au clavier et à la manette de jeu sans les remplacer, et qui ont en commun de ne disposer d'aucun privilège propre : chaque geste, chaque touche et chaque phrase se résout en un appel des fonctions ordinaires de la page (décoller, aller, stationnaire, atterrir, retour), de sorte que les zones de vol, la vérification des segments tous les cinq centimètres et, pour le robot réel, les conditions du pont s'appliquent exactement comme pour un bouton.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00"/>
        <w:gridCol w:w="7660"/>
      </w:tblGrid>
      <w:tr>
        <w:trPr>
          <w:tblHeader/>
        </w:trPr>
        <w:tc>
          <w:tcPr>
            <w:tcW w:type="dxa" w:w="1700"/>
            <w:tcBorders>
              <w:top w:val="single" w:color="B8BEC9" w:sz="4"/>
              <w:left w:val="single" w:color="B8BEC9" w:sz="4"/>
              <w:bottom w:val="single" w:color="B8BEC9" w:sz="4"/>
              <w:right w:val="single" w:color="B8BEC9" w:sz="4"/>
            </w:tcBorders>
            <w:shd w:fill="1F2430" w:color="auto" w:val="clear"/>
            <w:tcMar>
              <w:top w:type="dxa" w:w="60"/>
              <w:left w:type="dxa" w:w="100"/>
              <w:bottom w:type="dxa" w:w="60"/>
              <w:right w:type="dxa" w:w="100"/>
            </w:tcMar>
          </w:tcPr>
          <w:p>
            <w:pPr>
              <w:spacing w:after="0"/>
            </w:pPr>
            <w:r>
              <w:rPr>
                <w:b/>
                <w:bCs/>
                <w:color w:val="FFFFFF"/>
                <w:sz w:val="19"/>
                <w:szCs w:val="19"/>
              </w:rPr>
              <w:t xml:space="preserve">Moyen</w:t>
            </w:r>
          </w:p>
        </w:tc>
        <w:tc>
          <w:tcPr>
            <w:tcW w:type="dxa" w:w="7660"/>
            <w:tcBorders>
              <w:top w:val="single" w:color="B8BEC9" w:sz="4"/>
              <w:left w:val="single" w:color="B8BEC9" w:sz="4"/>
              <w:bottom w:val="single" w:color="B8BEC9" w:sz="4"/>
              <w:right w:val="single" w:color="B8BEC9" w:sz="4"/>
            </w:tcBorders>
            <w:shd w:fill="1F2430" w:color="auto" w:val="clear"/>
            <w:tcMar>
              <w:top w:type="dxa" w:w="60"/>
              <w:left w:type="dxa" w:w="100"/>
              <w:bottom w:type="dxa" w:w="60"/>
              <w:right w:type="dxa" w:w="100"/>
            </w:tcMar>
          </w:tcPr>
          <w:p>
            <w:pPr>
              <w:spacing w:after="0"/>
            </w:pPr>
            <w:r>
              <w:rPr>
                <w:b/>
                <w:bCs/>
                <w:color w:val="FFFFFF"/>
                <w:sz w:val="19"/>
                <w:szCs w:val="19"/>
              </w:rPr>
              <w:t xml:space="preserve">Fonctionnement</w:t>
            </w:r>
          </w:p>
        </w:tc>
      </w:tr>
      <w:tr>
        <w:tc>
          <w:tcPr>
            <w:tcW w:type="dxa" w:w="1700"/>
            <w:tcBorders>
              <w:top w:val="single" w:color="B8BEC9" w:sz="4"/>
              <w:left w:val="single" w:color="B8BEC9" w:sz="4"/>
              <w:bottom w:val="single" w:color="B8BEC9" w:sz="4"/>
              <w:right w:val="single" w:color="B8BEC9" w:sz="4"/>
            </w:tcBorders>
            <w:tcMar>
              <w:top w:type="dxa" w:w="60"/>
              <w:left w:type="dxa" w:w="100"/>
              <w:bottom w:type="dxa" w:w="60"/>
              <w:right w:type="dxa" w:w="100"/>
            </w:tcMar>
          </w:tcPr>
          <w:p>
            <w:pPr>
              <w:spacing w:after="0"/>
            </w:pPr>
            <w:r>
              <w:rPr>
                <w:b w:val="false"/>
                <w:bCs w:val="false"/>
                <w:sz w:val="19"/>
                <w:szCs w:val="19"/>
              </w:rPr>
              <w:t xml:space="preserve">Souris</w:t>
            </w:r>
          </w:p>
        </w:tc>
        <w:tc>
          <w:tcPr>
            <w:tcW w:type="dxa" w:w="7660"/>
            <w:tcBorders>
              <w:top w:val="single" w:color="B8BEC9" w:sz="4"/>
              <w:left w:val="single" w:color="B8BEC9" w:sz="4"/>
              <w:bottom w:val="single" w:color="B8BEC9" w:sz="4"/>
              <w:right w:val="single" w:color="B8BEC9" w:sz="4"/>
            </w:tcBorders>
            <w:tcMar>
              <w:top w:type="dxa" w:w="60"/>
              <w:left w:type="dxa" w:w="100"/>
              <w:bottom w:type="dxa" w:w="60"/>
              <w:right w:type="dxa" w:w="100"/>
            </w:tcMar>
          </w:tcPr>
          <w:p>
            <w:pPr>
              <w:spacing w:after="0"/>
            </w:pPr>
            <w:r>
              <w:rPr>
                <w:b w:val="false"/>
                <w:bCs w:val="false"/>
                <w:sz w:val="19"/>
                <w:szCs w:val="19"/>
              </w:rPr>
              <w:t xml:space="preserve">Saisir le drone dans la vue 3D et le glisser ; un anneau, relié au sol par une tige qui figure l'altitude, suit le pointeur, vert si le segment depuis la position actuelle est permis, rouge sinon ; au relâchement, le drone s'y rend par une trajectoire à secousse minimale. Le glissement suit le plan horizontal de l'altitude courante ; la touche Maj, maintenue, transforme le mouvement vertical de la souris en changement d'altitude (un centimètre par pixel). Posé, le drone décolle d'abord et prend l'altitude du curseur « aller ici ». Le double-clic sur le sol l'envoie au point visé, à son altitude courante.</w:t>
            </w:r>
          </w:p>
        </w:tc>
      </w:tr>
      <w:tr>
        <w:tc>
          <w:tcPr>
            <w:tcW w:type="dxa" w:w="1700"/>
            <w:tcBorders>
              <w:top w:val="single" w:color="B8BEC9" w:sz="4"/>
              <w:left w:val="single" w:color="B8BEC9" w:sz="4"/>
              <w:bottom w:val="single" w:color="B8BEC9" w:sz="4"/>
              <w:right w:val="single" w:color="B8BEC9" w:sz="4"/>
            </w:tcBorders>
            <w:tcMar>
              <w:top w:type="dxa" w:w="60"/>
              <w:left w:type="dxa" w:w="100"/>
              <w:bottom w:type="dxa" w:w="60"/>
              <w:right w:type="dxa" w:w="100"/>
            </w:tcMar>
          </w:tcPr>
          <w:p>
            <w:pPr>
              <w:spacing w:after="0"/>
            </w:pPr>
            <w:r>
              <w:rPr>
                <w:b w:val="false"/>
                <w:bCs w:val="false"/>
                <w:sz w:val="19"/>
                <w:szCs w:val="19"/>
              </w:rPr>
              <w:t xml:space="preserve">Flèches</w:t>
            </w:r>
          </w:p>
        </w:tc>
        <w:tc>
          <w:tcPr>
            <w:tcW w:type="dxa" w:w="7660"/>
            <w:tcBorders>
              <w:top w:val="single" w:color="B8BEC9" w:sz="4"/>
              <w:left w:val="single" w:color="B8BEC9" w:sz="4"/>
              <w:bottom w:val="single" w:color="B8BEC9" w:sz="4"/>
              <w:right w:val="single" w:color="B8BEC9" w:sz="4"/>
            </w:tcBorders>
            <w:tcMar>
              <w:top w:type="dxa" w:w="60"/>
              <w:left w:type="dxa" w:w="100"/>
              <w:bottom w:type="dxa" w:w="60"/>
              <w:right w:type="dxa" w:w="100"/>
            </w:tcMar>
          </w:tcPr>
          <w:p>
            <w:pPr>
              <w:spacing w:after="0"/>
            </w:pPr>
            <w:r>
              <w:rPr>
                <w:b w:val="false"/>
                <w:bCs w:val="false"/>
                <w:sz w:val="19"/>
                <w:szCs w:val="19"/>
              </w:rPr>
              <w:t xml:space="preserve">Un sélecteur fixe le repère des flèches : celui du drone (↑ avant, ↓ arrière, ← → gauche et droite de l'appareil) ou celui de la scène vue de la salle (↑ vers le lointain, ↓ vers la salle, ← jardin, → cour), converti à chaque image selon le lacet. Maj + ↑ ↓, ou Page précédente et Page suivante, règlent l'altitude ; Maj + ← → règlent le lacet. Les touches W A S D, R F et Q E demeurent.</w:t>
            </w:r>
          </w:p>
        </w:tc>
      </w:tr>
      <w:tr>
        <w:tc>
          <w:tcPr>
            <w:tcW w:type="dxa" w:w="1700"/>
            <w:tcBorders>
              <w:top w:val="single" w:color="B8BEC9" w:sz="4"/>
              <w:left w:val="single" w:color="B8BEC9" w:sz="4"/>
              <w:bottom w:val="single" w:color="B8BEC9" w:sz="4"/>
              <w:right w:val="single" w:color="B8BEC9" w:sz="4"/>
            </w:tcBorders>
            <w:tcMar>
              <w:top w:type="dxa" w:w="60"/>
              <w:left w:type="dxa" w:w="100"/>
              <w:bottom w:type="dxa" w:w="60"/>
              <w:right w:type="dxa" w:w="100"/>
            </w:tcMar>
          </w:tcPr>
          <w:p>
            <w:pPr>
              <w:spacing w:after="0"/>
            </w:pPr>
            <w:r>
              <w:rPr>
                <w:b w:val="false"/>
                <w:bCs w:val="false"/>
                <w:sz w:val="19"/>
                <w:szCs w:val="19"/>
              </w:rPr>
              <w:t xml:space="preserve">Voix ou texte</w:t>
            </w:r>
          </w:p>
        </w:tc>
        <w:tc>
          <w:tcPr>
            <w:tcW w:type="dxa" w:w="7660"/>
            <w:tcBorders>
              <w:top w:val="single" w:color="B8BEC9" w:sz="4"/>
              <w:left w:val="single" w:color="B8BEC9" w:sz="4"/>
              <w:bottom w:val="single" w:color="B8BEC9" w:sz="4"/>
              <w:right w:val="single" w:color="B8BEC9" w:sz="4"/>
            </w:tcBorders>
            <w:tcMar>
              <w:top w:type="dxa" w:w="60"/>
              <w:left w:type="dxa" w:w="100"/>
              <w:bottom w:type="dxa" w:w="60"/>
              <w:right w:type="dxa" w:w="100"/>
            </w:tcMar>
          </w:tcPr>
          <w:p>
            <w:pPr>
              <w:spacing w:after="0"/>
            </w:pPr>
            <w:r>
              <w:rPr>
                <w:b w:val="false"/>
                <w:bCs w:val="false"/>
                <w:sz w:val="19"/>
                <w:szCs w:val="19"/>
              </w:rPr>
              <w:t xml:space="preserve">Le bouton « 🎙 Parler » (touche V) ouvre l'écoute ; la même phrase peut être tapée dans le champ de commande. Exemples : « décolle », « décolle puis va au centre », « avance de 2 mètres », « recule de 50 centimètres », « à gauche d'un mètre et demi », « monte », « tourne à droite de 45 degrés », « demi-tour », « va côté cour », « reviens à la base », « regarde la salle », « stop », « GO », « arrêt d'urgence ».</w:t>
            </w:r>
          </w:p>
        </w:tc>
      </w:tr>
    </w:tbl>
    <w:p>
      <w:pPr>
        <w:spacing w:after="60"/>
      </w:pPr>
    </w:p>
    <w:p>
      <w:pPr>
        <w:spacing w:after="120" w:line="288"/>
        <w:jc w:val="both"/>
      </w:pPr>
      <w:r>
        <w:t xml:space="preserve">La grammaire, écrite dans le module web/drone/commande.js et partagée par les pages Drone et Chien, est déterministe et entièrement locale : elle reconnaît des verbes à l'impératif, des distances exprimées en chiffres ou en lettres (mètres, centimètres, pas, « et demi », « un peu »), des angles (degrés, quart de tour, demi-tour), les repères de salle.json et quelques périphrases de plateau (« le centre de la salle », « devant le premier rang », « le haut de l'escalier cour »), et enchaîne les ordres par « puis » ; elle n'emploie aucun modèle de langue, de sorte qu'une phrase produit toujours la même suite d'actions, que le journal affiche avant leur exécution. Une phrase incomprise est refusée et consignée ; une partie incomprise est ignorée et signalée, sans empêcher le reste. Les actions s'exécutent l'une après l'autre, chacune attendant la fin de la précédente ; toute reprise des manettes, du clavier ou de la souris interrompt la suite, « stop » met le drone en stationnaire, « arrêt d'urgence » déclenche l'ARRÊT ordinaire avec son réarmement distinct, et aucune phrase ne peut couper les moteurs, cette commande exigeant toujours la saisie de « COUPER ». Les essais de tests/test_commandes.py vérifient la grammaire, les conversions de repère des flèches et le fait que chaque exemple affiché dans la page soit compris.</w:t>
      </w:r>
    </w:p>
    <w:p>
      <w:pPr>
        <w:spacing w:after="120" w:line="288"/>
        <w:jc w:val="both"/>
      </w:pPr>
      <w:r>
        <w:t xml:space="preserve">La reconnaissance vocale repose sur l'API Web Speech du navigateur. Par défaut, selon la documentation de Mozilla, la reconnaissance de la parole dans une page web passe par un moteur distant auquel l'audio est envoyé, ce qui la rend inutilisable hors ligne (« Using the Web Speech API ») ; la propriété processLocally, encore expérimentale, exige au contraire que la reconnaissance se fasse sur l'appareil, alors qu'à sa valeur par défaut le navigateur choisit librement entre traitement local et distant (« SpeechRecognition: processLocally Property »). La page coche donc par défaut la case « reconnaissance sur l'appareil » : elle vérifie la disponibilité du modèle de langue française (fr-CA, sinon fr-FR), en demande au besoin le téléchargement unique, et refuse d'écouter si le navigateur ne peut garantir le traitement local, refus que l'opératrice ne lève qu'en décochant la case, après un avertissement consigné au journal. Aucun son n'est enregistré par la plateforme ; seul le texte reconnu est interprété et journalisé.</w:t>
      </w:r>
    </w:p>
    <w:p>
      <w:pPr>
        <w:spacing w:after="120" w:line="288"/>
        <w:jc w:val="both"/>
      </w:pPr>
      <w:r>
        <w:t xml:space="preserve">La version 1.2 corrige quatre défauts relevés lors de la vérification exhaustive de la grammaire. « Aire de décollage » ramène désormais le drone à l'aire au lieu de le faire décoller. « Fais un tour », « tour complet », « tourne sur toi-même », « trois quarts de tour » et « deux tours » sont compris, et toute rotation de plus de 120° est parcourue par étapes égales, dans le sens demandé, la régulation du lacet suivant sinon le plus court chemin. Un repère qui n'existe que pour l'autre robot (« va en haut de l'escalier cour », repère du seul chien) fait refuser toute la phrase, avec un message au journal, au lieu d'être remplacé par un repère voisin ; rien n'est alors exécuté à moitié. Enfin, plusieurs ordres dits sans « puis » sont reconnus et exécutés l'un après l'autre (« décolle et va au centre et regarde la salle »), le découpage ne se faisant que devant un verbe ou un mot d'ordre sans ambiguïté et seulement si chaque partie est comprise seule, tandis qu'un arrêt d'urgence prononcé dans la phrase l'emporte toujours sur le reste.</w:t>
      </w:r>
    </w:p>
    <w:p>
      <w:pPr>
        <w:spacing w:after="120" w:line="288"/>
        <w:jc w:val="both"/>
      </w:pPr>
      <w:r>
        <w:rPr>
          <w:i/>
          <w:iCs/>
        </w:rPr>
        <w:t xml:space="preserve">(Inférence) </w:t>
      </w:r>
      <w:r>
        <w:t xml:space="preserve">Le choix d'une grammaire fermée plutôt que d'un modèle de langue génératif tient à la nature même du plateau : un ordre donné à un robot qui évolue parmi des interprètes doit être prévisible, vérifiable avant exécution et reproductible d'une répétition à l'autre, qualités que la fermeture du vocabulaire procure et qu'une interprétation probabiliste rendrait difficilement auditables.</w:t>
      </w:r>
    </w:p>
    <w:p>
      <w:pPr>
        <w:pStyle w:val="Heading1"/>
        <w:spacing w:after="140" w:before="300"/>
      </w:pPr>
      <w:r>
        <w:t xml:space="preserve">3. Le théâtre et les zones de vol</w:t>
      </w:r>
    </w:p>
    <w:p>
      <w:pPr>
        <w:spacing w:after="120" w:line="288"/>
        <w:jc w:val="both"/>
      </w:pPr>
      <w:r>
        <w:t xml:space="preserve">La salle est décrite par un seul fichier, web/drone/salle.json, qui fixe les volumes de vol (plateau, salle), les obstacles (cadre de scène, manteau d'Arlequin, nez de scène, trois porteuses lumière, dalle du balcon, cabine de régie), les blocs de sièges, l'aire de décollage, les repères nommés et les règles chiffrées ; le repère retenu place l'origine au centre de la ligne du cadre, au niveau du plateau, avec x vers cour, y vers le haut et z vers la salle, convention déjà employée par le robot virtuel. Ce fichier est lu à la fois par la page et par le pont, et un test vérifie que les deux implantations de la règle, l'une en JavaScript, l'autre en Python, rendent le même verdict sur 3 000 points tirés au hasard dans chacun des trois modes : on pourrait dire que l'unicité de la règle, déjà exigée pour la bibliothèque de gestes, s'étend ainsi à l'espace.</w:t>
      </w:r>
    </w:p>
    <w:p>
      <w:pPr>
        <w:pStyle w:val="Heading2"/>
        <w:spacing w:after="100" w:before="200"/>
      </w:pPr>
      <w:r>
        <w:t xml:space="preserve">3.1 La règle</w:t>
      </w:r>
    </w:p>
    <w:p>
      <w:pPr>
        <w:pStyle w:val="ListParagraph"/>
        <w:numPr>
          <w:ilvl w:val="0"/>
          <w:numId w:val="2"/>
        </w:numPr>
        <w:spacing w:after="80" w:line="276"/>
        <w:jc w:val="both"/>
      </w:pPr>
      <w:r>
        <w:t xml:space="preserve">le cube de demi-côté « marge » (0,5 m) qui entoure le drone doit tenir tout entier dans les volumes ouverts par le mode de vol et ne toucher aucun obstacle ;</w:t>
      </w:r>
    </w:p>
    <w:p>
      <w:pPr>
        <w:pStyle w:val="ListParagraph"/>
        <w:numPr>
          <w:ilvl w:val="0"/>
          <w:numId w:val="2"/>
        </w:numPr>
        <w:spacing w:after="80" w:line="276"/>
        <w:jc w:val="both"/>
      </w:pPr>
      <w:r>
        <w:t xml:space="preserve">hors de l'aire de décollage, le drone reste à au moins 0,5 m du sol du volume où il se trouve ;</w:t>
      </w:r>
    </w:p>
    <w:p>
      <w:pPr>
        <w:pStyle w:val="ListParagraph"/>
        <w:numPr>
          <w:ilvl w:val="0"/>
          <w:numId w:val="2"/>
        </w:numPr>
        <w:spacing w:after="80" w:line="276"/>
        <w:jc w:val="both"/>
      </w:pPr>
      <w:r>
        <w:t xml:space="preserve">chaque interprète déclaré est entouré d'un cylindre de 2 m de rayon et de 2,6 m de hauteur que le drone ne peut pénétrer ;</w:t>
      </w:r>
    </w:p>
    <w:p>
      <w:pPr>
        <w:pStyle w:val="ListParagraph"/>
        <w:numPr>
          <w:ilvl w:val="0"/>
          <w:numId w:val="2"/>
        </w:numPr>
        <w:spacing w:after="80" w:line="276"/>
        <w:jc w:val="both"/>
      </w:pPr>
      <w:r>
        <w:t xml:space="preserve">le public est traité selon le mode, comme le précise le tableau suivant.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00"/>
        <w:gridCol w:w="1900"/>
        <w:gridCol w:w="5060"/>
      </w:tblGrid>
      <w:tr>
        <w:trPr>
          <w:tblHeader/>
        </w:trPr>
        <w:tc>
          <w:tcPr>
            <w:tcW w:type="dxa" w:w="2400"/>
            <w:tcBorders>
              <w:top w:val="single" w:color="B8BEC9" w:sz="4"/>
              <w:left w:val="single" w:color="B8BEC9" w:sz="4"/>
              <w:bottom w:val="single" w:color="B8BEC9" w:sz="4"/>
              <w:right w:val="single" w:color="B8BEC9" w:sz="4"/>
            </w:tcBorders>
            <w:shd w:fill="1F2430" w:color="auto" w:val="clear"/>
            <w:tcMar>
              <w:top w:type="dxa" w:w="60"/>
              <w:left w:type="dxa" w:w="100"/>
              <w:bottom w:type="dxa" w:w="60"/>
              <w:right w:type="dxa" w:w="100"/>
            </w:tcMar>
          </w:tcPr>
          <w:p>
            <w:pPr>
              <w:spacing w:after="0"/>
            </w:pPr>
            <w:r>
              <w:rPr>
                <w:b/>
                <w:bCs/>
                <w:color w:val="FFFFFF"/>
                <w:sz w:val="19"/>
                <w:szCs w:val="19"/>
              </w:rPr>
              <w:t xml:space="preserve">Mode</w:t>
            </w:r>
          </w:p>
        </w:tc>
        <w:tc>
          <w:tcPr>
            <w:tcW w:type="dxa" w:w="1900"/>
            <w:tcBorders>
              <w:top w:val="single" w:color="B8BEC9" w:sz="4"/>
              <w:left w:val="single" w:color="B8BEC9" w:sz="4"/>
              <w:bottom w:val="single" w:color="B8BEC9" w:sz="4"/>
              <w:right w:val="single" w:color="B8BEC9" w:sz="4"/>
            </w:tcBorders>
            <w:shd w:fill="1F2430" w:color="auto" w:val="clear"/>
            <w:tcMar>
              <w:top w:type="dxa" w:w="60"/>
              <w:left w:type="dxa" w:w="100"/>
              <w:bottom w:type="dxa" w:w="60"/>
              <w:right w:type="dxa" w:w="100"/>
            </w:tcMar>
          </w:tcPr>
          <w:p>
            <w:pPr>
              <w:spacing w:after="0"/>
            </w:pPr>
            <w:r>
              <w:rPr>
                <w:b/>
                <w:bCs/>
                <w:color w:val="FFFFFF"/>
                <w:sz w:val="19"/>
                <w:szCs w:val="19"/>
              </w:rPr>
              <w:t xml:space="preserve">Volumes</w:t>
            </w:r>
          </w:p>
        </w:tc>
        <w:tc>
          <w:tcPr>
            <w:tcW w:type="dxa" w:w="5060"/>
            <w:tcBorders>
              <w:top w:val="single" w:color="B8BEC9" w:sz="4"/>
              <w:left w:val="single" w:color="B8BEC9" w:sz="4"/>
              <w:bottom w:val="single" w:color="B8BEC9" w:sz="4"/>
              <w:right w:val="single" w:color="B8BEC9" w:sz="4"/>
            </w:tcBorders>
            <w:shd w:fill="1F2430" w:color="auto" w:val="clear"/>
            <w:tcMar>
              <w:top w:type="dxa" w:w="60"/>
              <w:left w:type="dxa" w:w="100"/>
              <w:bottom w:type="dxa" w:w="60"/>
              <w:right w:type="dxa" w:w="100"/>
            </w:tcMar>
          </w:tcPr>
          <w:p>
            <w:pPr>
              <w:spacing w:after="0"/>
            </w:pPr>
            <w:r>
              <w:rPr>
                <w:b/>
                <w:bCs/>
                <w:color w:val="FFFFFF"/>
                <w:sz w:val="19"/>
                <w:szCs w:val="19"/>
              </w:rPr>
              <w:t xml:space="preserve">Public</w:t>
            </w:r>
          </w:p>
        </w:tc>
      </w:tr>
      <w:tr>
        <w:tc>
          <w:tcPr>
            <w:tcW w:type="dxa" w:w="2400"/>
            <w:tcBorders>
              <w:top w:val="single" w:color="B8BEC9" w:sz="4"/>
              <w:left w:val="single" w:color="B8BEC9" w:sz="4"/>
              <w:bottom w:val="single" w:color="B8BEC9" w:sz="4"/>
              <w:right w:val="single" w:color="B8BEC9" w:sz="4"/>
            </w:tcBorders>
            <w:tcMar>
              <w:top w:type="dxa" w:w="60"/>
              <w:left w:type="dxa" w:w="100"/>
              <w:bottom w:type="dxa" w:w="60"/>
              <w:right w:type="dxa" w:w="100"/>
            </w:tcMar>
          </w:tcPr>
          <w:p>
            <w:pPr>
              <w:spacing w:after="0"/>
            </w:pPr>
            <w:r>
              <w:rPr>
                <w:b w:val="false"/>
                <w:bCs w:val="false"/>
                <w:sz w:val="19"/>
                <w:szCs w:val="19"/>
              </w:rPr>
              <w:t xml:space="preserve">Plateau seul (par défaut)</w:t>
            </w:r>
          </w:p>
        </w:tc>
        <w:tc>
          <w:tcPr>
            <w:tcW w:type="dxa" w:w="1900"/>
            <w:tcBorders>
              <w:top w:val="single" w:color="B8BEC9" w:sz="4"/>
              <w:left w:val="single" w:color="B8BEC9" w:sz="4"/>
              <w:bottom w:val="single" w:color="B8BEC9" w:sz="4"/>
              <w:right w:val="single" w:color="B8BEC9" w:sz="4"/>
            </w:tcBorders>
            <w:tcMar>
              <w:top w:type="dxa" w:w="60"/>
              <w:left w:type="dxa" w:w="100"/>
              <w:bottom w:type="dxa" w:w="60"/>
              <w:right w:type="dxa" w:w="100"/>
            </w:tcMar>
          </w:tcPr>
          <w:p>
            <w:pPr>
              <w:spacing w:after="0"/>
            </w:pPr>
            <w:r>
              <w:rPr>
                <w:b w:val="false"/>
                <w:bCs w:val="false"/>
                <w:sz w:val="19"/>
                <w:szCs w:val="19"/>
              </w:rPr>
              <w:t xml:space="preserve">Plateau</w:t>
            </w:r>
          </w:p>
        </w:tc>
        <w:tc>
          <w:tcPr>
            <w:tcW w:type="dxa" w:w="5060"/>
            <w:tcBorders>
              <w:top w:val="single" w:color="B8BEC9" w:sz="4"/>
              <w:left w:val="single" w:color="B8BEC9" w:sz="4"/>
              <w:bottom w:val="single" w:color="B8BEC9" w:sz="4"/>
              <w:right w:val="single" w:color="B8BEC9" w:sz="4"/>
            </w:tcBorders>
            <w:tcMar>
              <w:top w:type="dxa" w:w="60"/>
              <w:left w:type="dxa" w:w="100"/>
              <w:bottom w:type="dxa" w:w="60"/>
              <w:right w:type="dxa" w:w="100"/>
            </w:tcMar>
          </w:tcPr>
          <w:p>
            <w:pPr>
              <w:spacing w:after="0"/>
            </w:pPr>
            <w:r>
              <w:rPr>
                <w:b w:val="false"/>
                <w:bCs w:val="false"/>
                <w:sz w:val="19"/>
                <w:szCs w:val="19"/>
              </w:rPr>
              <w:t xml:space="preserve">La salle est fermée ; un voile rouge marque l'ouverture du cadre.</w:t>
            </w:r>
          </w:p>
        </w:tc>
      </w:tr>
      <w:tr>
        <w:tc>
          <w:tcPr>
            <w:tcW w:type="dxa" w:w="2400"/>
            <w:tcBorders>
              <w:top w:val="single" w:color="B8BEC9" w:sz="4"/>
              <w:left w:val="single" w:color="B8BEC9" w:sz="4"/>
              <w:bottom w:val="single" w:color="B8BEC9" w:sz="4"/>
              <w:right w:val="single" w:color="B8BEC9" w:sz="4"/>
            </w:tcBorders>
            <w:tcMar>
              <w:top w:type="dxa" w:w="60"/>
              <w:left w:type="dxa" w:w="100"/>
              <w:bottom w:type="dxa" w:w="60"/>
              <w:right w:type="dxa" w:w="100"/>
            </w:tcMar>
          </w:tcPr>
          <w:p>
            <w:pPr>
              <w:spacing w:after="0"/>
            </w:pPr>
            <w:r>
              <w:rPr>
                <w:b w:val="false"/>
                <w:bCs w:val="false"/>
                <w:sz w:val="19"/>
                <w:szCs w:val="19"/>
              </w:rPr>
              <w:t xml:space="preserve">Salle vide (répétition)</w:t>
            </w:r>
          </w:p>
        </w:tc>
        <w:tc>
          <w:tcPr>
            <w:tcW w:type="dxa" w:w="1900"/>
            <w:tcBorders>
              <w:top w:val="single" w:color="B8BEC9" w:sz="4"/>
              <w:left w:val="single" w:color="B8BEC9" w:sz="4"/>
              <w:bottom w:val="single" w:color="B8BEC9" w:sz="4"/>
              <w:right w:val="single" w:color="B8BEC9" w:sz="4"/>
            </w:tcBorders>
            <w:tcMar>
              <w:top w:type="dxa" w:w="60"/>
              <w:left w:type="dxa" w:w="100"/>
              <w:bottom w:type="dxa" w:w="60"/>
              <w:right w:type="dxa" w:w="100"/>
            </w:tcMar>
          </w:tcPr>
          <w:p>
            <w:pPr>
              <w:spacing w:after="0"/>
            </w:pPr>
            <w:r>
              <w:rPr>
                <w:b w:val="false"/>
                <w:bCs w:val="false"/>
                <w:sz w:val="19"/>
                <w:szCs w:val="19"/>
              </w:rPr>
              <w:t xml:space="preserve">Plateau et salle</w:t>
            </w:r>
          </w:p>
        </w:tc>
        <w:tc>
          <w:tcPr>
            <w:tcW w:type="dxa" w:w="5060"/>
            <w:tcBorders>
              <w:top w:val="single" w:color="B8BEC9" w:sz="4"/>
              <w:left w:val="single" w:color="B8BEC9" w:sz="4"/>
              <w:bottom w:val="single" w:color="B8BEC9" w:sz="4"/>
              <w:right w:val="single" w:color="B8BEC9" w:sz="4"/>
            </w:tcBorders>
            <w:tcMar>
              <w:top w:type="dxa" w:w="60"/>
              <w:left w:type="dxa" w:w="100"/>
              <w:bottom w:type="dxa" w:w="60"/>
              <w:right w:type="dxa" w:w="100"/>
            </w:tcMar>
          </w:tcPr>
          <w:p>
            <w:pPr>
              <w:spacing w:after="0"/>
            </w:pPr>
            <w:r>
              <w:rPr>
                <w:b w:val="false"/>
                <w:bCs w:val="false"/>
                <w:sz w:val="19"/>
                <w:szCs w:val="19"/>
              </w:rPr>
              <w:t xml:space="preserve">Exige les initiales de la personne qui a vérifié la salle ; les fauteuils deviennent un obstacle bas (1,3 m).</w:t>
            </w:r>
          </w:p>
        </w:tc>
      </w:tr>
      <w:tr>
        <w:tc>
          <w:tcPr>
            <w:tcW w:type="dxa" w:w="2400"/>
            <w:tcBorders>
              <w:top w:val="single" w:color="B8BEC9" w:sz="4"/>
              <w:left w:val="single" w:color="B8BEC9" w:sz="4"/>
              <w:bottom w:val="single" w:color="B8BEC9" w:sz="4"/>
              <w:right w:val="single" w:color="B8BEC9" w:sz="4"/>
            </w:tcBorders>
            <w:tcMar>
              <w:top w:type="dxa" w:w="60"/>
              <w:left w:type="dxa" w:w="100"/>
              <w:bottom w:type="dxa" w:w="60"/>
              <w:right w:type="dxa" w:w="100"/>
            </w:tcMar>
          </w:tcPr>
          <w:p>
            <w:pPr>
              <w:spacing w:after="0"/>
            </w:pPr>
            <w:r>
              <w:rPr>
                <w:b w:val="false"/>
                <w:bCs w:val="false"/>
                <w:sz w:val="19"/>
                <w:szCs w:val="19"/>
              </w:rPr>
              <w:t xml:space="preserve">Représentation (public présent)</w:t>
            </w:r>
          </w:p>
        </w:tc>
        <w:tc>
          <w:tcPr>
            <w:tcW w:type="dxa" w:w="1900"/>
            <w:tcBorders>
              <w:top w:val="single" w:color="B8BEC9" w:sz="4"/>
              <w:left w:val="single" w:color="B8BEC9" w:sz="4"/>
              <w:bottom w:val="single" w:color="B8BEC9" w:sz="4"/>
              <w:right w:val="single" w:color="B8BEC9" w:sz="4"/>
            </w:tcBorders>
            <w:tcMar>
              <w:top w:type="dxa" w:w="60"/>
              <w:left w:type="dxa" w:w="100"/>
              <w:bottom w:type="dxa" w:w="60"/>
              <w:right w:type="dxa" w:w="100"/>
            </w:tcMar>
          </w:tcPr>
          <w:p>
            <w:pPr>
              <w:spacing w:after="0"/>
            </w:pPr>
            <w:r>
              <w:rPr>
                <w:b w:val="false"/>
                <w:bCs w:val="false"/>
                <w:sz w:val="19"/>
                <w:szCs w:val="19"/>
              </w:rPr>
              <w:t xml:space="preserve">Plateau et salle</w:t>
            </w:r>
          </w:p>
        </w:tc>
        <w:tc>
          <w:tcPr>
            <w:tcW w:type="dxa" w:w="5060"/>
            <w:tcBorders>
              <w:top w:val="single" w:color="B8BEC9" w:sz="4"/>
              <w:left w:val="single" w:color="B8BEC9" w:sz="4"/>
              <w:bottom w:val="single" w:color="B8BEC9" w:sz="4"/>
              <w:right w:val="single" w:color="B8BEC9" w:sz="4"/>
            </w:tcBorders>
            <w:tcMar>
              <w:top w:type="dxa" w:w="60"/>
              <w:left w:type="dxa" w:w="100"/>
              <w:bottom w:type="dxa" w:w="60"/>
              <w:right w:type="dxa" w:w="100"/>
            </w:tcMar>
          </w:tcPr>
          <w:p>
            <w:pPr>
              <w:spacing w:after="0"/>
            </w:pPr>
            <w:r>
              <w:rPr>
                <w:b w:val="false"/>
                <w:bCs w:val="false"/>
                <w:sz w:val="19"/>
                <w:szCs w:val="19"/>
              </w:rPr>
              <w:t xml:space="preserve">Survol interdit : chaque bloc de sièges devient une colonne d'exclusion de toute hauteur, élargie de 2 m ; restent le plateau et la bande libre au-dessus de la fosse.</w:t>
            </w:r>
          </w:p>
        </w:tc>
      </w:tr>
    </w:tbl>
    <w:p>
      <w:pPr>
        <w:spacing w:after="60"/>
      </w:pPr>
    </w:p>
    <w:p>
      <w:pPr>
        <w:spacing w:after="120" w:line="288"/>
        <w:jc w:val="both"/>
      </w:pPr>
      <w:r>
        <w:t xml:space="preserve">(Inférence) Les valeurs chiffrées (marges, plafonds de vitesse de 1,5 m/s à l'horizontale et de 0,8 m/s à la verticale, accélération de 2 m/s², seuils de batterie de 30, 20 et 10 %) sont des valeurs de départ prudentes, choisies par conception et non tirées d'une norme ; elles devront être arrêtées par l'analyse de risques propre à la salle et à l'appareil, puis consignées dans salle.json, que la page et le pont reliront sans autre modification du code.</w:t>
      </w:r>
    </w:p>
    <w:p>
      <w:pPr>
        <w:spacing w:after="120" w:line="288"/>
        <w:jc w:val="both"/>
      </w:pPr>
      <w:r>
        <w:t xml:space="preserve">La salle dessinée est un gabarit à l'italienne ; il doit être remplacé, avant tout vol réel, par le relevé de la salle où l'on jouera, car une porteuse descendue de cinquante centimètres ou un élément de décor ajouté suffisent à rendre fausse une trajectoire validée la veille, d'où la présence de ce point dans la liste de contrôle.</w:t>
      </w:r>
    </w:p>
    <w:p>
      <w:pPr>
        <w:pStyle w:val="Heading1"/>
        <w:spacing w:after="140" w:before="300"/>
      </w:pPr>
      <w:r>
        <w:t xml:space="preserve">4. Le modèle de vol et la conduite</w:t>
      </w:r>
    </w:p>
    <w:p>
      <w:pPr>
        <w:spacing w:after="120" w:line="288"/>
        <w:jc w:val="both"/>
      </w:pPr>
      <w:r>
        <w:t xml:space="preserve">Le drone virtuel suit un modèle volontairement simple : la vitesse rejoint la consigne avec un retard du premier ordre et une accélération bornée, la consigne étant elle-même plafonnée puis filtrée par les zones avant d'être appliquée. Le filtre prévoit le point d'arrêt à partir de l'élan actuel et de la vitesse demandée ; s'il tombe en zone interdite, la composante fautive est retirée, de sorte que le drone freine devant le mur virtuel et glisse le long de lui au lieu de le franchir, et une dernière vérification annule tout pas d'intégration qui ferait entrer l'appareil dans une zone interdite. Les sécurités d'un autopilote sont reproduites : retour à l'aire à 20 % de batterie, atterrissage à 10 %, stationnaire puis atterrissage en cas de perte de liaison, ARRÊT par descente contrôlée verrouillée jusqu'au réarmement, et coupure des moteurs, distincte et confirmée, qui fait tomber l'appareil comme dans la réalité.</w:t>
      </w:r>
    </w:p>
    <w:p>
      <w:pPr>
        <w:spacing w:after="120" w:line="288"/>
        <w:jc w:val="both"/>
      </w:pPr>
      <w:r>
        <w:t xml:space="preserve">Chaque repère de la conduite décrit un déplacement en ligne droite selon une loi à secousse minimale, dont Flash et Hogan ont montré qu'elle rend compte des mouvements du bras humain d'un point à un autre (Flash et Hogan 1688-1703) ; le choix n'est sans doute pas indifférent pour un objet scénique, puisque l'appareil part et arrive sans à-coup, ce qui rapproche sa trajectoire d'un geste plutôt que d'un déplacement machinal. On notera que Eriksson et ses collègues, travaillant avec une chorégraphe et des danseurs, ont observé que des drones qui suivaient trop exactement leur cible paraissaient mécaniques et ternes, et qu'un peu d'accélération et de décélération les rendait plus intentionnels aux yeux du public (Eriksson et al.).</w:t>
      </w:r>
    </w:p>
    <w:p>
      <w:pPr>
        <w:spacing w:after="120" w:line="288"/>
        <w:jc w:val="both"/>
      </w:pPr>
      <w:r>
        <w:t xml:space="preserve">La validation échantillonne chaque segment tous les 5 cm contre les zones ; une durée inférieure à celle qu'autorisent les plafonds de vitesse (pic de 1,875 d/T) et d'accélération (pic de 5,7735 d/T²) est allongée plutôt que refusée, comme la couche de sécurité du pont ralentit déjà les mouvements articulaires trop rapides, mais le GO reste bloqué tant qu'un segment traverse un obstacle, le public ou le cylindre d'un interprète. La conduite d'exemple, « L'oiseau de lumière », est ainsi valide en mode « salle vide » et refusée dans les deux autres, ce que les tests vérifient, de même que le vol simulé de ses dix repères sans aucune entrée en zone interdite.</w:t>
      </w:r>
    </w:p>
    <w:p>
      <w:pPr>
        <w:pStyle w:val="Heading1"/>
        <w:spacing w:after="140" w:before="300"/>
      </w:pPr>
      <w:r>
        <w:t xml:space="preserve">5. La caméra 4K</w:t>
      </w:r>
    </w:p>
    <w:p>
      <w:pPr>
        <w:spacing w:after="120" w:line="288"/>
        <w:jc w:val="both"/>
      </w:pPr>
      <w:r>
        <w:t xml:space="preserve">La caméra virtuelle est rendue depuis la nacelle du drone, au format 16:9, avec un champ horizontal de 82° à ×1 et un zoom numérique jusqu'à ×4 ; l'image fixe est rendue hors écran à 3840 × 2160, quelle que soit la définition de l'aperçu, ce que l'essai dans le navigateur a confirmé, et l'enregistrement WebM suit la définition choisie pour l'aperçu.</w:t>
      </w:r>
    </w:p>
    <w:p>
      <w:pPr>
        <w:spacing w:after="120" w:line="288"/>
        <w:jc w:val="both"/>
      </w:pPr>
      <w:r>
        <w:t xml:space="preserve">La caméra réelle se joint par deux voies qui n'exigent aucun logiciel propriétaire dans la page. La première est une carte de capture HDMI vers USB, branchée sur la sortie HDMI de la radiocommande ou du récepteur vidéo, qui se présente au système comme une webcam ; la page demande 3840 × 2160 à 30 images par seconde et affiche la définition réellement obtenue, car le navigateur ne fait que tenter d'obtenir une valeur aussi proche que possible de celle qui est demandée, compte tenu du matériel, à moins d'une contrainte exacte (« MediaTrackConstraints: width property »). La seconde est un flux WebRTC lu par WHEP, protocole dans lequel le lecteur envoie son offre SDP par une requête HTTP POST de type application/sdp, reçoit la réponse avec un en-tête Location désignant la session et met fin à celle-ci par une requête DELETE (Murillo et al.) ; MediaMTX, qui accepte notamment les flux RTSP et SRT, sert la lecture WHEP à une adresse de la forme http://localhost:8889/mystream/whep (« Read a stream with WebRTC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F2B544" w:sz="12"/>
              <w:left w:val="single" w:color="B8BEC9" w:sz="4"/>
              <w:bottom w:val="single" w:color="B8BEC9" w:sz="4"/>
              <w:right w:val="single" w:color="B8BEC9" w:sz="4"/>
            </w:tcBorders>
            <w:shd w:fill="EEF2F8" w:color="auto" w:val="clear"/>
            <w:tcMar>
              <w:top w:type="dxa" w:w="120"/>
              <w:left w:type="dxa" w:w="160"/>
              <w:bottom w:type="dxa" w:w="120"/>
              <w:right w:type="dxa" w:w="160"/>
            </w:tcMar>
          </w:tcPr>
          <w:p>
            <w:pPr>
              <w:spacing w:after="100"/>
            </w:pPr>
            <w:r>
              <w:rPr>
                <w:b/>
                <w:bCs/>
              </w:rPr>
              <w:t xml:space="preserve">Garde-fou G-06 : affichage seul</w:t>
            </w:r>
          </w:p>
          <w:p>
            <w:pPr>
              <w:spacing w:after="80" w:line="276"/>
            </w:pPr>
            <w:r>
              <w:rPr>
                <w:sz w:val="20"/>
                <w:szCs w:val="20"/>
              </w:rPr>
              <w:t xml:space="preserve">Le flux réel n'est jamais enregistré par la plateforme : aucune option ne le permet, et le contrôleur du drone refuse au démarrage toute option de conservation d'images ou de vidéo, comme le fait déjà le garde-fou biométrique. Seule la caméra virtuelle, qui ne filme aucune personne, peut être enregistrée. Lorsque le jumeau vise le public en mode « représentation », la vignette affiche « Public dans le champ — aucune captation ».</w:t>
            </w:r>
          </w:p>
          <w:p>
            <w:pPr>
              <w:spacing w:after="80" w:line="276"/>
            </w:pPr>
            <w:r>
              <w:rPr>
                <w:sz w:val="20"/>
                <w:szCs w:val="20"/>
              </w:rPr>
              <w:t xml:space="preserve">(Inférence) Une page servie en https (Netlify) ne peut lire un serveur WHEP en http sans que le navigateur bloque ce contenu mixte ; la lecture WHEP se fait donc depuis la version locale de la page, servie par le pont, ou depuis un serveur WHEP en https.</w:t>
            </w:r>
          </w:p>
        </w:tc>
      </w:tr>
    </w:tbl>
    <w:p>
      <w:pPr>
        <w:pStyle w:val="Heading1"/>
        <w:spacing w:after="140" w:before="300"/>
      </w:pPr>
      <w:r>
        <w:t xml:space="preserve">6. Passer au drone réel</w:t>
      </w:r>
    </w:p>
    <w:p>
      <w:pPr>
        <w:pStyle w:val="Heading2"/>
        <w:spacing w:after="100" w:before="200"/>
      </w:pPr>
      <w:r>
        <w:t xml:space="preserve">6.1 Les adaptateurs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2600"/>
        <w:gridCol w:w="5260"/>
      </w:tblGrid>
      <w:tr>
        <w:trPr>
          <w:tblHeader/>
        </w:trPr>
        <w:tc>
          <w:tcPr>
            <w:tcW w:type="dxa" w:w="1500"/>
            <w:tcBorders>
              <w:top w:val="single" w:color="B8BEC9" w:sz="4"/>
              <w:left w:val="single" w:color="B8BEC9" w:sz="4"/>
              <w:bottom w:val="single" w:color="B8BEC9" w:sz="4"/>
              <w:right w:val="single" w:color="B8BEC9" w:sz="4"/>
            </w:tcBorders>
            <w:shd w:fill="1F2430" w:color="auto" w:val="clear"/>
            <w:tcMar>
              <w:top w:type="dxa" w:w="60"/>
              <w:left w:type="dxa" w:w="100"/>
              <w:bottom w:type="dxa" w:w="60"/>
              <w:right w:type="dxa" w:w="100"/>
            </w:tcMar>
          </w:tcPr>
          <w:p>
            <w:pPr>
              <w:spacing w:after="0"/>
            </w:pPr>
            <w:r>
              <w:rPr>
                <w:b/>
                <w:bCs/>
                <w:color w:val="FFFFFF"/>
                <w:sz w:val="19"/>
                <w:szCs w:val="19"/>
              </w:rPr>
              <w:t xml:space="preserve">Adaptateur</w:t>
            </w:r>
          </w:p>
        </w:tc>
        <w:tc>
          <w:tcPr>
            <w:tcW w:type="dxa" w:w="2600"/>
            <w:tcBorders>
              <w:top w:val="single" w:color="B8BEC9" w:sz="4"/>
              <w:left w:val="single" w:color="B8BEC9" w:sz="4"/>
              <w:bottom w:val="single" w:color="B8BEC9" w:sz="4"/>
              <w:right w:val="single" w:color="B8BEC9" w:sz="4"/>
            </w:tcBorders>
            <w:shd w:fill="1F2430" w:color="auto" w:val="clear"/>
            <w:tcMar>
              <w:top w:type="dxa" w:w="60"/>
              <w:left w:type="dxa" w:w="100"/>
              <w:bottom w:type="dxa" w:w="60"/>
              <w:right w:type="dxa" w:w="100"/>
            </w:tcMar>
          </w:tcPr>
          <w:p>
            <w:pPr>
              <w:spacing w:after="0"/>
            </w:pPr>
            <w:r>
              <w:rPr>
                <w:b/>
                <w:bCs/>
                <w:color w:val="FFFFFF"/>
                <w:sz w:val="19"/>
                <w:szCs w:val="19"/>
              </w:rPr>
              <w:t xml:space="preserve">Appareils visés</w:t>
            </w:r>
          </w:p>
        </w:tc>
        <w:tc>
          <w:tcPr>
            <w:tcW w:type="dxa" w:w="5260"/>
            <w:tcBorders>
              <w:top w:val="single" w:color="B8BEC9" w:sz="4"/>
              <w:left w:val="single" w:color="B8BEC9" w:sz="4"/>
              <w:bottom w:val="single" w:color="B8BEC9" w:sz="4"/>
              <w:right w:val="single" w:color="B8BEC9" w:sz="4"/>
            </w:tcBorders>
            <w:shd w:fill="1F2430" w:color="auto" w:val="clear"/>
            <w:tcMar>
              <w:top w:type="dxa" w:w="60"/>
              <w:left w:type="dxa" w:w="100"/>
              <w:bottom w:type="dxa" w:w="60"/>
              <w:right w:type="dxa" w:w="100"/>
            </w:tcMar>
          </w:tcPr>
          <w:p>
            <w:pPr>
              <w:spacing w:after="0"/>
            </w:pPr>
            <w:r>
              <w:rPr>
                <w:b/>
                <w:bCs/>
                <w:color w:val="FFFFFF"/>
                <w:sz w:val="19"/>
                <w:szCs w:val="19"/>
              </w:rPr>
              <w:t xml:space="preserve">Remarques vérifiées ou à vérifier</w:t>
            </w:r>
          </w:p>
        </w:tc>
      </w:tr>
      <w:tr>
        <w:tc>
          <w:tcPr>
            <w:tcW w:type="dxa" w:w="1500"/>
            <w:tcBorders>
              <w:top w:val="single" w:color="B8BEC9" w:sz="4"/>
              <w:left w:val="single" w:color="B8BEC9" w:sz="4"/>
              <w:bottom w:val="single" w:color="B8BEC9" w:sz="4"/>
              <w:right w:val="single" w:color="B8BEC9" w:sz="4"/>
            </w:tcBorders>
            <w:tcMar>
              <w:top w:type="dxa" w:w="60"/>
              <w:left w:type="dxa" w:w="100"/>
              <w:bottom w:type="dxa" w:w="60"/>
              <w:right w:type="dxa" w:w="100"/>
            </w:tcMar>
          </w:tcPr>
          <w:p>
            <w:pPr>
              <w:spacing w:after="0"/>
            </w:pPr>
            <w:r>
              <w:rPr>
                <w:b w:val="false"/>
                <w:bCs w:val="false"/>
                <w:sz w:val="19"/>
                <w:szCs w:val="19"/>
              </w:rPr>
              <w:t xml:space="preserve">simulation</w:t>
            </w:r>
          </w:p>
        </w:tc>
        <w:tc>
          <w:tcPr>
            <w:tcW w:type="dxa" w:w="2600"/>
            <w:tcBorders>
              <w:top w:val="single" w:color="B8BEC9" w:sz="4"/>
              <w:left w:val="single" w:color="B8BEC9" w:sz="4"/>
              <w:bottom w:val="single" w:color="B8BEC9" w:sz="4"/>
              <w:right w:val="single" w:color="B8BEC9" w:sz="4"/>
            </w:tcBorders>
            <w:tcMar>
              <w:top w:type="dxa" w:w="60"/>
              <w:left w:type="dxa" w:w="100"/>
              <w:bottom w:type="dxa" w:w="60"/>
              <w:right w:type="dxa" w:w="100"/>
            </w:tcMar>
          </w:tcPr>
          <w:p>
            <w:pPr>
              <w:spacing w:after="0"/>
            </w:pPr>
            <w:r>
              <w:rPr>
                <w:b w:val="false"/>
                <w:bCs w:val="false"/>
                <w:sz w:val="19"/>
                <w:szCs w:val="19"/>
              </w:rPr>
              <w:t xml:space="preserve">Drone cinématique dans le pont</w:t>
            </w:r>
          </w:p>
        </w:tc>
        <w:tc>
          <w:tcPr>
            <w:tcW w:type="dxa" w:w="5260"/>
            <w:tcBorders>
              <w:top w:val="single" w:color="B8BEC9" w:sz="4"/>
              <w:left w:val="single" w:color="B8BEC9" w:sz="4"/>
              <w:bottom w:val="single" w:color="B8BEC9" w:sz="4"/>
              <w:right w:val="single" w:color="B8BEC9" w:sz="4"/>
            </w:tcBorders>
            <w:tcMar>
              <w:top w:type="dxa" w:w="60"/>
              <w:left w:type="dxa" w:w="100"/>
              <w:bottom w:type="dxa" w:w="60"/>
              <w:right w:type="dxa" w:w="100"/>
            </w:tcMar>
          </w:tcPr>
          <w:p>
            <w:pPr>
              <w:spacing w:after="0"/>
            </w:pPr>
            <w:r>
              <w:rPr>
                <w:b w:val="false"/>
                <w:bCs w:val="false"/>
                <w:sz w:val="19"/>
                <w:szCs w:val="19"/>
              </w:rPr>
              <w:t xml:space="preserve">Répète toute la chaîne (page, pont, sécurités) sans appareil ; ne compte pas comme vol réel.</w:t>
            </w:r>
          </w:p>
        </w:tc>
      </w:tr>
      <w:tr>
        <w:tc>
          <w:tcPr>
            <w:tcW w:type="dxa" w:w="1500"/>
            <w:tcBorders>
              <w:top w:val="single" w:color="B8BEC9" w:sz="4"/>
              <w:left w:val="single" w:color="B8BEC9" w:sz="4"/>
              <w:bottom w:val="single" w:color="B8BEC9" w:sz="4"/>
              <w:right w:val="single" w:color="B8BEC9" w:sz="4"/>
            </w:tcBorders>
            <w:tcMar>
              <w:top w:type="dxa" w:w="60"/>
              <w:left w:type="dxa" w:w="100"/>
              <w:bottom w:type="dxa" w:w="60"/>
              <w:right w:type="dxa" w:w="100"/>
            </w:tcMar>
          </w:tcPr>
          <w:p>
            <w:pPr>
              <w:spacing w:after="0"/>
            </w:pPr>
            <w:r>
              <w:rPr>
                <w:b w:val="false"/>
                <w:bCs w:val="false"/>
                <w:sz w:val="19"/>
                <w:szCs w:val="19"/>
              </w:rPr>
              <w:t xml:space="preserve">mavlink</w:t>
            </w:r>
          </w:p>
        </w:tc>
        <w:tc>
          <w:tcPr>
            <w:tcW w:type="dxa" w:w="2600"/>
            <w:tcBorders>
              <w:top w:val="single" w:color="B8BEC9" w:sz="4"/>
              <w:left w:val="single" w:color="B8BEC9" w:sz="4"/>
              <w:bottom w:val="single" w:color="B8BEC9" w:sz="4"/>
              <w:right w:val="single" w:color="B8BEC9" w:sz="4"/>
            </w:tcBorders>
            <w:tcMar>
              <w:top w:type="dxa" w:w="60"/>
              <w:left w:type="dxa" w:w="100"/>
              <w:bottom w:type="dxa" w:w="60"/>
              <w:right w:type="dxa" w:w="100"/>
            </w:tcMar>
          </w:tcPr>
          <w:p>
            <w:pPr>
              <w:spacing w:after="0"/>
            </w:pPr>
            <w:r>
              <w:rPr>
                <w:b w:val="false"/>
                <w:bCs w:val="false"/>
                <w:sz w:val="19"/>
                <w:szCs w:val="19"/>
              </w:rPr>
              <w:t xml:space="preserve">ArduPilot Copter en mode GUIDED (pymavlink)</w:t>
            </w:r>
          </w:p>
        </w:tc>
        <w:tc>
          <w:tcPr>
            <w:tcW w:type="dxa" w:w="5260"/>
            <w:tcBorders>
              <w:top w:val="single" w:color="B8BEC9" w:sz="4"/>
              <w:left w:val="single" w:color="B8BEC9" w:sz="4"/>
              <w:bottom w:val="single" w:color="B8BEC9" w:sz="4"/>
              <w:right w:val="single" w:color="B8BEC9" w:sz="4"/>
            </w:tcBorders>
            <w:tcMar>
              <w:top w:type="dxa" w:w="60"/>
              <w:left w:type="dxa" w:w="100"/>
              <w:bottom w:type="dxa" w:w="60"/>
              <w:right w:type="dxa" w:w="100"/>
            </w:tcMar>
          </w:tcPr>
          <w:p>
            <w:pPr>
              <w:spacing w:after="0"/>
            </w:pPr>
            <w:r>
              <w:rPr>
                <w:b w:val="false"/>
                <w:bCs w:val="false"/>
                <w:sz w:val="19"/>
                <w:szCs w:val="19"/>
              </w:rPr>
              <w:t xml:space="preserve">Consignes SET_POSITION_TARGET_LOCAL_NED dans le repère MAV_FRAME_LOCAL_NED, masques 3576 (position) et 3527 (vitesse) ; l'appareil s'arrête après 3 s sans consigne de vitesse (ArduPilot, « Copter Commands »). Coupure : désarmement forcé, paramètre 21196, même en vol (ArduPilot, « Arming and Disarming »). PX4 n'est pas pris en charge dans cette version.</w:t>
            </w:r>
          </w:p>
        </w:tc>
      </w:tr>
      <w:tr>
        <w:tc>
          <w:tcPr>
            <w:tcW w:type="dxa" w:w="1500"/>
            <w:tcBorders>
              <w:top w:val="single" w:color="B8BEC9" w:sz="4"/>
              <w:left w:val="single" w:color="B8BEC9" w:sz="4"/>
              <w:bottom w:val="single" w:color="B8BEC9" w:sz="4"/>
              <w:right w:val="single" w:color="B8BEC9" w:sz="4"/>
            </w:tcBorders>
            <w:tcMar>
              <w:top w:type="dxa" w:w="60"/>
              <w:left w:type="dxa" w:w="100"/>
              <w:bottom w:type="dxa" w:w="60"/>
              <w:right w:type="dxa" w:w="100"/>
            </w:tcMar>
          </w:tcPr>
          <w:p>
            <w:pPr>
              <w:spacing w:after="0"/>
            </w:pPr>
            <w:r>
              <w:rPr>
                <w:b w:val="false"/>
                <w:bCs w:val="false"/>
                <w:sz w:val="19"/>
                <w:szCs w:val="19"/>
              </w:rPr>
              <w:t xml:space="preserve">tello</w:t>
            </w:r>
          </w:p>
        </w:tc>
        <w:tc>
          <w:tcPr>
            <w:tcW w:type="dxa" w:w="2600"/>
            <w:tcBorders>
              <w:top w:val="single" w:color="B8BEC9" w:sz="4"/>
              <w:left w:val="single" w:color="B8BEC9" w:sz="4"/>
              <w:bottom w:val="single" w:color="B8BEC9" w:sz="4"/>
              <w:right w:val="single" w:color="B8BEC9" w:sz="4"/>
            </w:tcBorders>
            <w:tcMar>
              <w:top w:type="dxa" w:w="60"/>
              <w:left w:type="dxa" w:w="100"/>
              <w:bottom w:type="dxa" w:w="60"/>
              <w:right w:type="dxa" w:w="100"/>
            </w:tcMar>
          </w:tcPr>
          <w:p>
            <w:pPr>
              <w:spacing w:after="0"/>
            </w:pPr>
            <w:r>
              <w:rPr>
                <w:b w:val="false"/>
                <w:bCs w:val="false"/>
                <w:sz w:val="19"/>
                <w:szCs w:val="19"/>
              </w:rPr>
              <w:t xml:space="preserve">Ryze/DJI Tello (SDK 2.0, UDP)</w:t>
            </w:r>
          </w:p>
        </w:tc>
        <w:tc>
          <w:tcPr>
            <w:tcW w:type="dxa" w:w="5260"/>
            <w:tcBorders>
              <w:top w:val="single" w:color="B8BEC9" w:sz="4"/>
              <w:left w:val="single" w:color="B8BEC9" w:sz="4"/>
              <w:bottom w:val="single" w:color="B8BEC9" w:sz="4"/>
              <w:right w:val="single" w:color="B8BEC9" w:sz="4"/>
            </w:tcBorders>
            <w:tcMar>
              <w:top w:type="dxa" w:w="60"/>
              <w:left w:type="dxa" w:w="100"/>
              <w:bottom w:type="dxa" w:w="60"/>
              <w:right w:type="dxa" w:w="100"/>
            </w:tcMar>
          </w:tcPr>
          <w:p>
            <w:pPr>
              <w:spacing w:after="0"/>
            </w:pPr>
            <w:r>
              <w:rPr>
                <w:b w:val="false"/>
                <w:bCs w:val="false"/>
                <w:sz w:val="19"/>
                <w:szCs w:val="19"/>
              </w:rPr>
              <w:t xml:space="preserve">Ports 8889 et 8890, déplacements relatifs de 20 à 500 cm, atterrissage automatique après 15 s sans commande (Ryze) ; caméra 720p, non 4K ; position estimée à l'estime, d'où un usage réservé aux répétitions.</w:t>
            </w:r>
          </w:p>
        </w:tc>
      </w:tr>
      <w:tr>
        <w:tc>
          <w:tcPr>
            <w:tcW w:type="dxa" w:w="1500"/>
            <w:tcBorders>
              <w:top w:val="single" w:color="B8BEC9" w:sz="4"/>
              <w:left w:val="single" w:color="B8BEC9" w:sz="4"/>
              <w:bottom w:val="single" w:color="B8BEC9" w:sz="4"/>
              <w:right w:val="single" w:color="B8BEC9" w:sz="4"/>
            </w:tcBorders>
            <w:tcMar>
              <w:top w:type="dxa" w:w="60"/>
              <w:left w:type="dxa" w:w="100"/>
              <w:bottom w:type="dxa" w:w="60"/>
              <w:right w:type="dxa" w:w="100"/>
            </w:tcMar>
          </w:tcPr>
          <w:p>
            <w:pPr>
              <w:spacing w:after="0"/>
            </w:pPr>
            <w:r>
              <w:rPr>
                <w:b w:val="false"/>
                <w:bCs w:val="false"/>
                <w:sz w:val="19"/>
                <w:szCs w:val="19"/>
              </w:rPr>
              <w:t xml:space="preserve">ligne_json</w:t>
            </w:r>
          </w:p>
        </w:tc>
        <w:tc>
          <w:tcPr>
            <w:tcW w:type="dxa" w:w="2600"/>
            <w:tcBorders>
              <w:top w:val="single" w:color="B8BEC9" w:sz="4"/>
              <w:left w:val="single" w:color="B8BEC9" w:sz="4"/>
              <w:bottom w:val="single" w:color="B8BEC9" w:sz="4"/>
              <w:right w:val="single" w:color="B8BEC9" w:sz="4"/>
            </w:tcBorders>
            <w:tcMar>
              <w:top w:type="dxa" w:w="60"/>
              <w:left w:type="dxa" w:w="100"/>
              <w:bottom w:type="dxa" w:w="60"/>
              <w:right w:type="dxa" w:w="100"/>
            </w:tcMar>
          </w:tcPr>
          <w:p>
            <w:pPr>
              <w:spacing w:after="0"/>
            </w:pPr>
            <w:r>
              <w:rPr>
                <w:b w:val="false"/>
                <w:bCs w:val="false"/>
                <w:sz w:val="19"/>
                <w:szCs w:val="19"/>
              </w:rPr>
              <w:t xml:space="preserve">Ordinateur compagnon (drone maison, système de capture de mouvement…)</w:t>
            </w:r>
          </w:p>
        </w:tc>
        <w:tc>
          <w:tcPr>
            <w:tcW w:type="dxa" w:w="5260"/>
            <w:tcBorders>
              <w:top w:val="single" w:color="B8BEC9" w:sz="4"/>
              <w:left w:val="single" w:color="B8BEC9" w:sz="4"/>
              <w:bottom w:val="single" w:color="B8BEC9" w:sz="4"/>
              <w:right w:val="single" w:color="B8BEC9" w:sz="4"/>
            </w:tcBorders>
            <w:tcMar>
              <w:top w:type="dxa" w:w="60"/>
              <w:left w:type="dxa" w:w="100"/>
              <w:bottom w:type="dxa" w:w="60"/>
              <w:right w:type="dxa" w:w="100"/>
            </w:tcMar>
          </w:tcPr>
          <w:p>
            <w:pPr>
              <w:spacing w:after="0"/>
            </w:pPr>
            <w:r>
              <w:rPr>
                <w:b w:val="false"/>
                <w:bCs w:val="false"/>
                <w:sz w:val="19"/>
                <w:szCs w:val="19"/>
              </w:rPr>
              <w:t xml:space="preserve">JSON par ligne en UDP, dans le repère du théâtre ; protocole décrit dans PROTOCOLE.md.</w:t>
            </w:r>
          </w:p>
        </w:tc>
      </w:tr>
    </w:tbl>
    <w:p>
      <w:pPr>
        <w:spacing w:after="60"/>
      </w:pPr>
    </w:p>
    <w:p>
      <w:pPr>
        <w:spacing w:after="120" w:line="288"/>
        <w:jc w:val="both"/>
      </w:pPr>
      <w:r>
        <w:t xml:space="preserve">(Inférence) Pour un drone réel muni d'une caméra 4K, la voie la plus ouverte est un multirotor sous ArduPilot, piloté par MAVLink, dont la caméra 4K est lue séparément, par sa sortie HDMI ou par un flux RTSP relayé en WHEP ; les masques avec lacet (2552 et 1479) ont été déduits des masques documentés en levant le bit correspondant, et doivent être éprouvés en simulation logicielle (SITL) avant tout vol.</w:t>
      </w:r>
    </w:p>
    <w:p>
      <w:pPr>
        <w:pStyle w:val="Heading2"/>
        <w:spacing w:after="100" w:before="200"/>
      </w:pPr>
      <w:r>
        <w:t xml:space="preserve">6.2 La chaîne de sécurité du pont</w:t>
      </w:r>
    </w:p>
    <w:p>
      <w:pPr>
        <w:pStyle w:val="ListParagraph"/>
        <w:numPr>
          <w:ilvl w:val="0"/>
          <w:numId w:val="2"/>
        </w:numPr>
        <w:spacing w:after="80" w:line="276"/>
        <w:jc w:val="both"/>
      </w:pPr>
      <w:r>
        <w:rPr>
          <w:b/>
          <w:bCs/>
        </w:rPr>
        <w:t xml:space="preserve">Autorisation de configuration : </w:t>
      </w:r>
      <w:r>
        <w:t xml:space="preserve">aucun adaptateur réel ne s'ouvre tant que [drone] reel_autorise vaut false dans config.toml ; le mode « représentation » reste refusé au drone réel tant que [drone] vol_en_representation vaut false.</w:t>
      </w:r>
    </w:p>
    <w:p>
      <w:pPr>
        <w:pStyle w:val="ListParagraph"/>
        <w:numPr>
          <w:ilvl w:val="0"/>
          <w:numId w:val="2"/>
        </w:numPr>
        <w:spacing w:after="80" w:line="276"/>
        <w:jc w:val="both"/>
      </w:pPr>
      <w:r>
        <w:rPr>
          <w:b/>
          <w:bCs/>
        </w:rPr>
        <w:t xml:space="preserve">Conditions de vol : </w:t>
      </w:r>
      <w:r>
        <w:t xml:space="preserve">observateur de sécurité déclaré dans la Console (plan P2.1), liste de contrôle de huit points cochée et signée d'initiales, salle vérifiée vide en mode « salle vide », aucun arrêt d'urgence actif.</w:t>
      </w:r>
    </w:p>
    <w:p>
      <w:pPr>
        <w:pStyle w:val="ListParagraph"/>
        <w:numPr>
          <w:ilvl w:val="0"/>
          <w:numId w:val="2"/>
        </w:numPr>
        <w:spacing w:after="80" w:line="276"/>
        <w:jc w:val="both"/>
      </w:pPr>
      <w:r>
        <w:rPr>
          <w:b/>
          <w:bCs/>
        </w:rPr>
        <w:t xml:space="preserve">Zones : </w:t>
      </w:r>
      <w:r>
        <w:t xml:space="preserve">chaque destination et chaque segment sont vérifiés par bridge/drone/zones.py ; les consignes de vitesse sont filtrées par le point d'arrêt prévu, comme dans le drone virtuel.</w:t>
      </w:r>
    </w:p>
    <w:p>
      <w:pPr>
        <w:pStyle w:val="ListParagraph"/>
        <w:numPr>
          <w:ilvl w:val="0"/>
          <w:numId w:val="2"/>
        </w:numPr>
        <w:spacing w:after="80" w:line="276"/>
        <w:jc w:val="both"/>
      </w:pPr>
      <w:r>
        <w:rPr>
          <w:b/>
          <w:bCs/>
        </w:rPr>
        <w:t xml:space="preserve">Trajets : </w:t>
      </w:r>
      <w:r>
        <w:t xml:space="preserve">découpés selon la même loi à secousse minimale et envoyés en consignes de position à 10 Hz, plafonds de vitesse et d'accélération compris.</w:t>
      </w:r>
    </w:p>
    <w:p>
      <w:pPr>
        <w:pStyle w:val="ListParagraph"/>
        <w:numPr>
          <w:ilvl w:val="0"/>
          <w:numId w:val="2"/>
        </w:numPr>
        <w:spacing w:after="80" w:line="276"/>
        <w:jc w:val="both"/>
      </w:pPr>
      <w:r>
        <w:rPr>
          <w:b/>
          <w:bCs/>
        </w:rPr>
        <w:t xml:space="preserve">Chiens de garde : </w:t>
      </w:r>
      <w:r>
        <w:t xml:space="preserve">si la page se tait, stationnaire après 1 s puis atterrissage après 4 s ; télémétrie hors zone : stationnaire ; batterie critique : atterrissage.</w:t>
      </w:r>
    </w:p>
    <w:p>
      <w:pPr>
        <w:pStyle w:val="ListParagraph"/>
        <w:numPr>
          <w:ilvl w:val="0"/>
          <w:numId w:val="2"/>
        </w:numPr>
        <w:spacing w:after="80" w:line="276"/>
        <w:jc w:val="both"/>
      </w:pPr>
      <w:r>
        <w:rPr>
          <w:b/>
          <w:bCs/>
        </w:rPr>
        <w:t xml:space="preserve">ARRÊT : </w:t>
      </w:r>
      <w:r>
        <w:t xml:space="preserve">l'arrêt d'urgence global de la plateforme, déclenché depuis n'importe quelle page, pose le drone et le verrouille jusqu'au réarmement, qui demeure une action volontaire et distincte ; la coupure des moteurs, dernier recours, exige la saisie de « COUPER » et déclenche à son tour l'ARRÊT global, avec fiche d'incident.</w:t>
      </w:r>
    </w:p>
    <w:p>
      <w:pPr>
        <w:spacing w:after="120" w:line="288"/>
        <w:jc w:val="both"/>
      </w:pPr>
      <w:r>
        <w:t xml:space="preserve">Le passage du repère du théâtre au repère local de l'autopilote (nord, est, bas) se règle dans [drone.repere] par l'origine (l'aire de décollage) et le cap du nord local par rapport à la direction du lointain ; les tests vérifient l'aller-retour des positions et des lacets pour plusieurs caps, ainsi que la conversion de la télémétrie MAVLink en coordonnées de la salle.</w:t>
      </w:r>
    </w:p>
    <w:p>
      <w:pPr>
        <w:pStyle w:val="Heading1"/>
        <w:spacing w:after="140" w:before="300"/>
      </w:pPr>
      <w:r>
        <w:t xml:space="preserve">7. Cadre et précédents</w:t>
      </w:r>
    </w:p>
    <w:p>
      <w:pPr>
        <w:spacing w:after="120" w:line="288"/>
        <w:jc w:val="both"/>
      </w:pPr>
      <w:r>
        <w:t xml:space="preserve">Le cadre applicable au vol intérieur reste à établir pour chaque lieu. La page de Transport Canada consacrée au vol sécuritaire et légal ne traite pas expressément du vol intérieur, rappelant seulement qu'un drone de moins de 250 g n'a pas à être immatriculé et qu'il ne faut jamais l'utiliser de façon imprudente ou négligente (Transport Canada) ; une université torontoise indique, pour sa part, que la législation ne s'applique pas aux opérations intérieures ou souterraines, tout en exigeant pour celles-ci la permission du propriétaire de l'espace (Toronto Metropolitan University). Ces deux sources ne concordent pas tout à fait dans leur portée, la seconde n'étant ni un texte réglementaire ni un avis de l'autorité ; d'où le dernier point de la liste de contrôle, qui demande l'autorisation écrite du lieu, l'assurance couvrant le vol intérieur et la vérification des règles applicables.</w:t>
      </w:r>
    </w:p>
    <w:p>
      <w:pPr>
        <w:spacing w:after="120" w:line="288"/>
        <w:jc w:val="both"/>
      </w:pPr>
      <w:r>
        <w:t xml:space="preserve">Les précédents scéniques montrent qu'un tel dispositif n'a rien de chimérique, pourvu que la sécurité soit conçue en amont. Dans Paramour, production du Cirque du Soleil présentée au Lyric Theatre de Broadway, huit drones autonomes de Verity Studios, déguisés en abat-jour, ont accompli plus de 7 000 décollages, vols et atterrissages en une année, devant jusqu'à 2 000 spectateurs par représentation, chaque appareil étant conçu pour se poser sans danger après la défaillance d'un moteur, d'un composant électronique ou d'une batterie (Hoffmann). L'expérience de Eriksson et de ses collègues, de son côté, reposait sur un volume de capture de mouvement fermé par un toit et des murs virtuels, sur des protège-hélices et sur un pilotage non manuel (Eriksson et al.) : ces deux exemples, l'un industriel, l'autre de recherche-création, convergent vers les principes que la page met en œuvre, à savoir l'autonomie supervisée, les murs virtuels et la redondance des arrêts.</w:t>
      </w:r>
    </w:p>
    <w:p>
      <w:pPr>
        <w:pStyle w:val="Heading1"/>
        <w:spacing w:after="140" w:before="300"/>
      </w:pPr>
      <w:r>
        <w:t xml:space="preserve">8. Décisions et actions qui vous reviennent</w:t>
      </w:r>
    </w:p>
    <w:p>
      <w:pPr>
        <w:spacing w:after="120" w:line="288"/>
        <w:jc w:val="both"/>
      </w:pPr>
      <w:r>
        <w:t xml:space="preserve">(Inférence) Les éléments ci-dessous ne peuvent être tranchés par le logiciel ; ils sont ordonnés selon l'ordre dans lequel ils conditionnent le premier vol réel.</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00"/>
        <w:gridCol w:w="5700"/>
        <w:gridCol w:w="3160"/>
      </w:tblGrid>
      <w:tr>
        <w:trPr>
          <w:tblHeader/>
        </w:trPr>
        <w:tc>
          <w:tcPr>
            <w:tcW w:type="dxa" w:w="500"/>
            <w:tcBorders>
              <w:top w:val="single" w:color="B8BEC9" w:sz="4"/>
              <w:left w:val="single" w:color="B8BEC9" w:sz="4"/>
              <w:bottom w:val="single" w:color="B8BEC9" w:sz="4"/>
              <w:right w:val="single" w:color="B8BEC9" w:sz="4"/>
            </w:tcBorders>
            <w:shd w:fill="1F2430" w:color="auto" w:val="clear"/>
            <w:tcMar>
              <w:top w:type="dxa" w:w="60"/>
              <w:left w:type="dxa" w:w="100"/>
              <w:bottom w:type="dxa" w:w="60"/>
              <w:right w:type="dxa" w:w="100"/>
            </w:tcMar>
          </w:tcPr>
          <w:p>
            <w:pPr>
              <w:spacing w:after="0"/>
            </w:pPr>
            <w:r>
              <w:rPr>
                <w:b/>
                <w:bCs/>
                <w:color w:val="FFFFFF"/>
                <w:sz w:val="19"/>
                <w:szCs w:val="19"/>
              </w:rPr>
              <w:t xml:space="preserve">#</w:t>
            </w:r>
          </w:p>
        </w:tc>
        <w:tc>
          <w:tcPr>
            <w:tcW w:type="dxa" w:w="5700"/>
            <w:tcBorders>
              <w:top w:val="single" w:color="B8BEC9" w:sz="4"/>
              <w:left w:val="single" w:color="B8BEC9" w:sz="4"/>
              <w:bottom w:val="single" w:color="B8BEC9" w:sz="4"/>
              <w:right w:val="single" w:color="B8BEC9" w:sz="4"/>
            </w:tcBorders>
            <w:shd w:fill="1F2430" w:color="auto" w:val="clear"/>
            <w:tcMar>
              <w:top w:type="dxa" w:w="60"/>
              <w:left w:type="dxa" w:w="100"/>
              <w:bottom w:type="dxa" w:w="60"/>
              <w:right w:type="dxa" w:w="100"/>
            </w:tcMar>
          </w:tcPr>
          <w:p>
            <w:pPr>
              <w:spacing w:after="0"/>
            </w:pPr>
            <w:r>
              <w:rPr>
                <w:b/>
                <w:bCs/>
                <w:color w:val="FFFFFF"/>
                <w:sz w:val="19"/>
                <w:szCs w:val="19"/>
              </w:rPr>
              <w:t xml:space="preserve">Action</w:t>
            </w:r>
          </w:p>
        </w:tc>
        <w:tc>
          <w:tcPr>
            <w:tcW w:type="dxa" w:w="3160"/>
            <w:tcBorders>
              <w:top w:val="single" w:color="B8BEC9" w:sz="4"/>
              <w:left w:val="single" w:color="B8BEC9" w:sz="4"/>
              <w:bottom w:val="single" w:color="B8BEC9" w:sz="4"/>
              <w:right w:val="single" w:color="B8BEC9" w:sz="4"/>
            </w:tcBorders>
            <w:shd w:fill="1F2430" w:color="auto" w:val="clear"/>
            <w:tcMar>
              <w:top w:type="dxa" w:w="60"/>
              <w:left w:type="dxa" w:w="100"/>
              <w:bottom w:type="dxa" w:w="60"/>
              <w:right w:type="dxa" w:w="100"/>
            </w:tcMar>
          </w:tcPr>
          <w:p>
            <w:pPr>
              <w:spacing w:after="0"/>
            </w:pPr>
            <w:r>
              <w:rPr>
                <w:b/>
                <w:bCs/>
                <w:color w:val="FFFFFF"/>
                <w:sz w:val="19"/>
                <w:szCs w:val="19"/>
              </w:rPr>
              <w:t xml:space="preserve">Débloque</w:t>
            </w:r>
          </w:p>
        </w:tc>
      </w:tr>
      <w:tr>
        <w:tc>
          <w:tcPr>
            <w:tcW w:type="dxa" w:w="500"/>
            <w:tcBorders>
              <w:top w:val="single" w:color="B8BEC9" w:sz="4"/>
              <w:left w:val="single" w:color="B8BEC9" w:sz="4"/>
              <w:bottom w:val="single" w:color="B8BEC9" w:sz="4"/>
              <w:right w:val="single" w:color="B8BEC9" w:sz="4"/>
            </w:tcBorders>
            <w:tcMar>
              <w:top w:type="dxa" w:w="60"/>
              <w:left w:type="dxa" w:w="100"/>
              <w:bottom w:type="dxa" w:w="60"/>
              <w:right w:type="dxa" w:w="100"/>
            </w:tcMar>
          </w:tcPr>
          <w:p>
            <w:pPr>
              <w:spacing w:after="0"/>
            </w:pPr>
            <w:r>
              <w:rPr>
                <w:b w:val="false"/>
                <w:bCs w:val="false"/>
                <w:sz w:val="19"/>
                <w:szCs w:val="19"/>
              </w:rPr>
              <w:t xml:space="preserve">1</w:t>
            </w:r>
          </w:p>
        </w:tc>
        <w:tc>
          <w:tcPr>
            <w:tcW w:type="dxa" w:w="5700"/>
            <w:tcBorders>
              <w:top w:val="single" w:color="B8BEC9" w:sz="4"/>
              <w:left w:val="single" w:color="B8BEC9" w:sz="4"/>
              <w:bottom w:val="single" w:color="B8BEC9" w:sz="4"/>
              <w:right w:val="single" w:color="B8BEC9" w:sz="4"/>
            </w:tcBorders>
            <w:tcMar>
              <w:top w:type="dxa" w:w="60"/>
              <w:left w:type="dxa" w:w="100"/>
              <w:bottom w:type="dxa" w:w="60"/>
              <w:right w:type="dxa" w:w="100"/>
            </w:tcMar>
          </w:tcPr>
          <w:p>
            <w:pPr>
              <w:spacing w:after="0"/>
            </w:pPr>
            <w:r>
              <w:rPr>
                <w:b w:val="false"/>
                <w:bCs w:val="false"/>
                <w:sz w:val="19"/>
                <w:szCs w:val="19"/>
              </w:rPr>
              <w:t xml:space="preserve">Faire le relevé de la salle et remplacer web/drone/salle.json (cotes, porteuses, décor, gradins, balcon)</w:t>
            </w:r>
          </w:p>
        </w:tc>
        <w:tc>
          <w:tcPr>
            <w:tcW w:type="dxa" w:w="3160"/>
            <w:tcBorders>
              <w:top w:val="single" w:color="B8BEC9" w:sz="4"/>
              <w:left w:val="single" w:color="B8BEC9" w:sz="4"/>
              <w:bottom w:val="single" w:color="B8BEC9" w:sz="4"/>
              <w:right w:val="single" w:color="B8BEC9" w:sz="4"/>
            </w:tcBorders>
            <w:tcMar>
              <w:top w:type="dxa" w:w="60"/>
              <w:left w:type="dxa" w:w="100"/>
              <w:bottom w:type="dxa" w:w="60"/>
              <w:right w:type="dxa" w:w="100"/>
            </w:tcMar>
          </w:tcPr>
          <w:p>
            <w:pPr>
              <w:spacing w:after="0"/>
            </w:pPr>
            <w:r>
              <w:rPr>
                <w:b w:val="false"/>
                <w:bCs w:val="false"/>
                <w:sz w:val="19"/>
                <w:szCs w:val="19"/>
              </w:rPr>
              <w:t xml:space="preserve">Toute répétition fidèle ; tout vol réel</w:t>
            </w:r>
          </w:p>
        </w:tc>
      </w:tr>
      <w:tr>
        <w:tc>
          <w:tcPr>
            <w:tcW w:type="dxa" w:w="500"/>
            <w:tcBorders>
              <w:top w:val="single" w:color="B8BEC9" w:sz="4"/>
              <w:left w:val="single" w:color="B8BEC9" w:sz="4"/>
              <w:bottom w:val="single" w:color="B8BEC9" w:sz="4"/>
              <w:right w:val="single" w:color="B8BEC9" w:sz="4"/>
            </w:tcBorders>
            <w:tcMar>
              <w:top w:type="dxa" w:w="60"/>
              <w:left w:type="dxa" w:w="100"/>
              <w:bottom w:type="dxa" w:w="60"/>
              <w:right w:type="dxa" w:w="100"/>
            </w:tcMar>
          </w:tcPr>
          <w:p>
            <w:pPr>
              <w:spacing w:after="0"/>
            </w:pPr>
            <w:r>
              <w:rPr>
                <w:b w:val="false"/>
                <w:bCs w:val="false"/>
                <w:sz w:val="19"/>
                <w:szCs w:val="19"/>
              </w:rPr>
              <w:t xml:space="preserve">2</w:t>
            </w:r>
          </w:p>
        </w:tc>
        <w:tc>
          <w:tcPr>
            <w:tcW w:type="dxa" w:w="5700"/>
            <w:tcBorders>
              <w:top w:val="single" w:color="B8BEC9" w:sz="4"/>
              <w:left w:val="single" w:color="B8BEC9" w:sz="4"/>
              <w:bottom w:val="single" w:color="B8BEC9" w:sz="4"/>
              <w:right w:val="single" w:color="B8BEC9" w:sz="4"/>
            </w:tcBorders>
            <w:tcMar>
              <w:top w:type="dxa" w:w="60"/>
              <w:left w:type="dxa" w:w="100"/>
              <w:bottom w:type="dxa" w:w="60"/>
              <w:right w:type="dxa" w:w="100"/>
            </w:tcMar>
          </w:tcPr>
          <w:p>
            <w:pPr>
              <w:spacing w:after="0"/>
            </w:pPr>
            <w:r>
              <w:rPr>
                <w:b w:val="false"/>
                <w:bCs w:val="false"/>
                <w:sz w:val="19"/>
                <w:szCs w:val="19"/>
              </w:rPr>
              <w:t xml:space="preserve">Choisir l'appareil (multirotor ArduPilot recommandé pour la 4K) et la voie vidéo (carte de capture HDMI ou MediaMTX/WHEP)</w:t>
            </w:r>
          </w:p>
        </w:tc>
        <w:tc>
          <w:tcPr>
            <w:tcW w:type="dxa" w:w="3160"/>
            <w:tcBorders>
              <w:top w:val="single" w:color="B8BEC9" w:sz="4"/>
              <w:left w:val="single" w:color="B8BEC9" w:sz="4"/>
              <w:bottom w:val="single" w:color="B8BEC9" w:sz="4"/>
              <w:right w:val="single" w:color="B8BEC9" w:sz="4"/>
            </w:tcBorders>
            <w:tcMar>
              <w:top w:type="dxa" w:w="60"/>
              <w:left w:type="dxa" w:w="100"/>
              <w:bottom w:type="dxa" w:w="60"/>
              <w:right w:type="dxa" w:w="100"/>
            </w:tcMar>
          </w:tcPr>
          <w:p>
            <w:pPr>
              <w:spacing w:after="0"/>
            </w:pPr>
            <w:r>
              <w:rPr>
                <w:b w:val="false"/>
                <w:bCs w:val="false"/>
                <w:sz w:val="19"/>
                <w:szCs w:val="19"/>
              </w:rPr>
              <w:t xml:space="preserve">Adaptateur mavlink ; caméra réelle</w:t>
            </w:r>
          </w:p>
        </w:tc>
      </w:tr>
      <w:tr>
        <w:tc>
          <w:tcPr>
            <w:tcW w:type="dxa" w:w="500"/>
            <w:tcBorders>
              <w:top w:val="single" w:color="B8BEC9" w:sz="4"/>
              <w:left w:val="single" w:color="B8BEC9" w:sz="4"/>
              <w:bottom w:val="single" w:color="B8BEC9" w:sz="4"/>
              <w:right w:val="single" w:color="B8BEC9" w:sz="4"/>
            </w:tcBorders>
            <w:tcMar>
              <w:top w:type="dxa" w:w="60"/>
              <w:left w:type="dxa" w:w="100"/>
              <w:bottom w:type="dxa" w:w="60"/>
              <w:right w:type="dxa" w:w="100"/>
            </w:tcMar>
          </w:tcPr>
          <w:p>
            <w:pPr>
              <w:spacing w:after="0"/>
            </w:pPr>
            <w:r>
              <w:rPr>
                <w:b w:val="false"/>
                <w:bCs w:val="false"/>
                <w:sz w:val="19"/>
                <w:szCs w:val="19"/>
              </w:rPr>
              <w:t xml:space="preserve">3</w:t>
            </w:r>
          </w:p>
        </w:tc>
        <w:tc>
          <w:tcPr>
            <w:tcW w:type="dxa" w:w="5700"/>
            <w:tcBorders>
              <w:top w:val="single" w:color="B8BEC9" w:sz="4"/>
              <w:left w:val="single" w:color="B8BEC9" w:sz="4"/>
              <w:bottom w:val="single" w:color="B8BEC9" w:sz="4"/>
              <w:right w:val="single" w:color="B8BEC9" w:sz="4"/>
            </w:tcBorders>
            <w:tcMar>
              <w:top w:type="dxa" w:w="60"/>
              <w:left w:type="dxa" w:w="100"/>
              <w:bottom w:type="dxa" w:w="60"/>
              <w:right w:type="dxa" w:w="100"/>
            </w:tcMar>
          </w:tcPr>
          <w:p>
            <w:pPr>
              <w:spacing w:after="0"/>
            </w:pPr>
            <w:r>
              <w:rPr>
                <w:b w:val="false"/>
                <w:bCs w:val="false"/>
                <w:sz w:val="19"/>
                <w:szCs w:val="19"/>
              </w:rPr>
              <w:t xml:space="preserve">Obtenir l'autorisation écrite du lieu, l'assurance et l'avis sur les règles applicables au vol intérieur</w:t>
            </w:r>
          </w:p>
        </w:tc>
        <w:tc>
          <w:tcPr>
            <w:tcW w:type="dxa" w:w="3160"/>
            <w:tcBorders>
              <w:top w:val="single" w:color="B8BEC9" w:sz="4"/>
              <w:left w:val="single" w:color="B8BEC9" w:sz="4"/>
              <w:bottom w:val="single" w:color="B8BEC9" w:sz="4"/>
              <w:right w:val="single" w:color="B8BEC9" w:sz="4"/>
            </w:tcBorders>
            <w:tcMar>
              <w:top w:type="dxa" w:w="60"/>
              <w:left w:type="dxa" w:w="100"/>
              <w:bottom w:type="dxa" w:w="60"/>
              <w:right w:type="dxa" w:w="100"/>
            </w:tcMar>
          </w:tcPr>
          <w:p>
            <w:pPr>
              <w:spacing w:after="0"/>
            </w:pPr>
            <w:r>
              <w:rPr>
                <w:b w:val="false"/>
                <w:bCs w:val="false"/>
                <w:sz w:val="19"/>
                <w:szCs w:val="19"/>
              </w:rPr>
              <w:t xml:space="preserve">Point 8 de la liste de contrôle</w:t>
            </w:r>
          </w:p>
        </w:tc>
      </w:tr>
      <w:tr>
        <w:tc>
          <w:tcPr>
            <w:tcW w:type="dxa" w:w="500"/>
            <w:tcBorders>
              <w:top w:val="single" w:color="B8BEC9" w:sz="4"/>
              <w:left w:val="single" w:color="B8BEC9" w:sz="4"/>
              <w:bottom w:val="single" w:color="B8BEC9" w:sz="4"/>
              <w:right w:val="single" w:color="B8BEC9" w:sz="4"/>
            </w:tcBorders>
            <w:tcMar>
              <w:top w:type="dxa" w:w="60"/>
              <w:left w:type="dxa" w:w="100"/>
              <w:bottom w:type="dxa" w:w="60"/>
              <w:right w:type="dxa" w:w="100"/>
            </w:tcMar>
          </w:tcPr>
          <w:p>
            <w:pPr>
              <w:spacing w:after="0"/>
            </w:pPr>
            <w:r>
              <w:rPr>
                <w:b w:val="false"/>
                <w:bCs w:val="false"/>
                <w:sz w:val="19"/>
                <w:szCs w:val="19"/>
              </w:rPr>
              <w:t xml:space="preserve">4</w:t>
            </w:r>
          </w:p>
        </w:tc>
        <w:tc>
          <w:tcPr>
            <w:tcW w:type="dxa" w:w="5700"/>
            <w:tcBorders>
              <w:top w:val="single" w:color="B8BEC9" w:sz="4"/>
              <w:left w:val="single" w:color="B8BEC9" w:sz="4"/>
              <w:bottom w:val="single" w:color="B8BEC9" w:sz="4"/>
              <w:right w:val="single" w:color="B8BEC9" w:sz="4"/>
            </w:tcBorders>
            <w:tcMar>
              <w:top w:type="dxa" w:w="60"/>
              <w:left w:type="dxa" w:w="100"/>
              <w:bottom w:type="dxa" w:w="60"/>
              <w:right w:type="dxa" w:w="100"/>
            </w:tcMar>
          </w:tcPr>
          <w:p>
            <w:pPr>
              <w:spacing w:after="0"/>
            </w:pPr>
            <w:r>
              <w:rPr>
                <w:b w:val="false"/>
                <w:bCs w:val="false"/>
                <w:sz w:val="19"/>
                <w:szCs w:val="19"/>
              </w:rPr>
              <w:t xml:space="preserve">Mener l'analyse de risques propre au drone et fixer marges, vitesses et seuils dans salle.json</w:t>
            </w:r>
          </w:p>
        </w:tc>
        <w:tc>
          <w:tcPr>
            <w:tcW w:type="dxa" w:w="3160"/>
            <w:tcBorders>
              <w:top w:val="single" w:color="B8BEC9" w:sz="4"/>
              <w:left w:val="single" w:color="B8BEC9" w:sz="4"/>
              <w:bottom w:val="single" w:color="B8BEC9" w:sz="4"/>
              <w:right w:val="single" w:color="B8BEC9" w:sz="4"/>
            </w:tcBorders>
            <w:tcMar>
              <w:top w:type="dxa" w:w="60"/>
              <w:left w:type="dxa" w:w="100"/>
              <w:bottom w:type="dxa" w:w="60"/>
              <w:right w:type="dxa" w:w="100"/>
            </w:tcMar>
          </w:tcPr>
          <w:p>
            <w:pPr>
              <w:spacing w:after="0"/>
            </w:pPr>
            <w:r>
              <w:rPr>
                <w:b w:val="false"/>
                <w:bCs w:val="false"/>
                <w:sz w:val="19"/>
                <w:szCs w:val="19"/>
              </w:rPr>
              <w:t xml:space="preserve">Valeurs définitives des règles</w:t>
            </w:r>
          </w:p>
        </w:tc>
      </w:tr>
      <w:tr>
        <w:tc>
          <w:tcPr>
            <w:tcW w:type="dxa" w:w="500"/>
            <w:tcBorders>
              <w:top w:val="single" w:color="B8BEC9" w:sz="4"/>
              <w:left w:val="single" w:color="B8BEC9" w:sz="4"/>
              <w:bottom w:val="single" w:color="B8BEC9" w:sz="4"/>
              <w:right w:val="single" w:color="B8BEC9" w:sz="4"/>
            </w:tcBorders>
            <w:tcMar>
              <w:top w:type="dxa" w:w="60"/>
              <w:left w:type="dxa" w:w="100"/>
              <w:bottom w:type="dxa" w:w="60"/>
              <w:right w:type="dxa" w:w="100"/>
            </w:tcMar>
          </w:tcPr>
          <w:p>
            <w:pPr>
              <w:spacing w:after="0"/>
            </w:pPr>
            <w:r>
              <w:rPr>
                <w:b w:val="false"/>
                <w:bCs w:val="false"/>
                <w:sz w:val="19"/>
                <w:szCs w:val="19"/>
              </w:rPr>
              <w:t xml:space="preserve">5</w:t>
            </w:r>
          </w:p>
        </w:tc>
        <w:tc>
          <w:tcPr>
            <w:tcW w:type="dxa" w:w="5700"/>
            <w:tcBorders>
              <w:top w:val="single" w:color="B8BEC9" w:sz="4"/>
              <w:left w:val="single" w:color="B8BEC9" w:sz="4"/>
              <w:bottom w:val="single" w:color="B8BEC9" w:sz="4"/>
              <w:right w:val="single" w:color="B8BEC9" w:sz="4"/>
            </w:tcBorders>
            <w:tcMar>
              <w:top w:type="dxa" w:w="60"/>
              <w:left w:type="dxa" w:w="100"/>
              <w:bottom w:type="dxa" w:w="60"/>
              <w:right w:type="dxa" w:w="100"/>
            </w:tcMar>
          </w:tcPr>
          <w:p>
            <w:pPr>
              <w:spacing w:after="0"/>
            </w:pPr>
            <w:r>
              <w:rPr>
                <w:b w:val="false"/>
                <w:bCs w:val="false"/>
                <w:sz w:val="19"/>
                <w:szCs w:val="19"/>
              </w:rPr>
              <w:t xml:space="preserve">Éprouver la chaîne en SITL ArduPilot, puis étalonner [drone.repere] (origine, cap) et vérifier les masques avec lacet</w:t>
            </w:r>
          </w:p>
        </w:tc>
        <w:tc>
          <w:tcPr>
            <w:tcW w:type="dxa" w:w="3160"/>
            <w:tcBorders>
              <w:top w:val="single" w:color="B8BEC9" w:sz="4"/>
              <w:left w:val="single" w:color="B8BEC9" w:sz="4"/>
              <w:bottom w:val="single" w:color="B8BEC9" w:sz="4"/>
              <w:right w:val="single" w:color="B8BEC9" w:sz="4"/>
            </w:tcBorders>
            <w:tcMar>
              <w:top w:type="dxa" w:w="60"/>
              <w:left w:type="dxa" w:w="100"/>
              <w:bottom w:type="dxa" w:w="60"/>
              <w:right w:type="dxa" w:w="100"/>
            </w:tcMar>
          </w:tcPr>
          <w:p>
            <w:pPr>
              <w:spacing w:after="0"/>
            </w:pPr>
            <w:r>
              <w:rPr>
                <w:b w:val="false"/>
                <w:bCs w:val="false"/>
                <w:sz w:val="19"/>
                <w:szCs w:val="19"/>
              </w:rPr>
              <w:t xml:space="preserve">Passage de reel_autorise à true</w:t>
            </w:r>
          </w:p>
        </w:tc>
      </w:tr>
      <w:tr>
        <w:tc>
          <w:tcPr>
            <w:tcW w:type="dxa" w:w="500"/>
            <w:tcBorders>
              <w:top w:val="single" w:color="B8BEC9" w:sz="4"/>
              <w:left w:val="single" w:color="B8BEC9" w:sz="4"/>
              <w:bottom w:val="single" w:color="B8BEC9" w:sz="4"/>
              <w:right w:val="single" w:color="B8BEC9" w:sz="4"/>
            </w:tcBorders>
            <w:tcMar>
              <w:top w:type="dxa" w:w="60"/>
              <w:left w:type="dxa" w:w="100"/>
              <w:bottom w:type="dxa" w:w="60"/>
              <w:right w:type="dxa" w:w="100"/>
            </w:tcMar>
          </w:tcPr>
          <w:p>
            <w:pPr>
              <w:spacing w:after="0"/>
            </w:pPr>
            <w:r>
              <w:rPr>
                <w:b w:val="false"/>
                <w:bCs w:val="false"/>
                <w:sz w:val="19"/>
                <w:szCs w:val="19"/>
              </w:rPr>
              <w:t xml:space="preserve">6</w:t>
            </w:r>
          </w:p>
        </w:tc>
        <w:tc>
          <w:tcPr>
            <w:tcW w:type="dxa" w:w="5700"/>
            <w:tcBorders>
              <w:top w:val="single" w:color="B8BEC9" w:sz="4"/>
              <w:left w:val="single" w:color="B8BEC9" w:sz="4"/>
              <w:bottom w:val="single" w:color="B8BEC9" w:sz="4"/>
              <w:right w:val="single" w:color="B8BEC9" w:sz="4"/>
            </w:tcBorders>
            <w:tcMar>
              <w:top w:type="dxa" w:w="60"/>
              <w:left w:type="dxa" w:w="100"/>
              <w:bottom w:type="dxa" w:w="60"/>
              <w:right w:type="dxa" w:w="100"/>
            </w:tcMar>
          </w:tcPr>
          <w:p>
            <w:pPr>
              <w:spacing w:after="0"/>
            </w:pPr>
            <w:r>
              <w:rPr>
                <w:b w:val="false"/>
                <w:bCs w:val="false"/>
                <w:sz w:val="19"/>
                <w:szCs w:val="19"/>
              </w:rPr>
              <w:t xml:space="preserve">Premier vol réel, mode « plateau », observateur présent, consigné et clos par procès-verbal</w:t>
            </w:r>
          </w:p>
        </w:tc>
        <w:tc>
          <w:tcPr>
            <w:tcW w:type="dxa" w:w="3160"/>
            <w:tcBorders>
              <w:top w:val="single" w:color="B8BEC9" w:sz="4"/>
              <w:left w:val="single" w:color="B8BEC9" w:sz="4"/>
              <w:bottom w:val="single" w:color="B8BEC9" w:sz="4"/>
              <w:right w:val="single" w:color="B8BEC9" w:sz="4"/>
            </w:tcBorders>
            <w:tcMar>
              <w:top w:type="dxa" w:w="60"/>
              <w:left w:type="dxa" w:w="100"/>
              <w:bottom w:type="dxa" w:w="60"/>
              <w:right w:type="dxa" w:w="100"/>
            </w:tcMar>
          </w:tcPr>
          <w:p>
            <w:pPr>
              <w:spacing w:after="0"/>
            </w:pPr>
            <w:r>
              <w:rPr>
                <w:b w:val="false"/>
                <w:bCs w:val="false"/>
                <w:sz w:val="19"/>
                <w:szCs w:val="19"/>
              </w:rPr>
              <w:t xml:space="preserve">État « réalisé » de O-13</w:t>
            </w:r>
          </w:p>
        </w:tc>
      </w:tr>
      <w:tr>
        <w:tc>
          <w:tcPr>
            <w:tcW w:type="dxa" w:w="500"/>
            <w:tcBorders>
              <w:top w:val="single" w:color="B8BEC9" w:sz="4"/>
              <w:left w:val="single" w:color="B8BEC9" w:sz="4"/>
              <w:bottom w:val="single" w:color="B8BEC9" w:sz="4"/>
              <w:right w:val="single" w:color="B8BEC9" w:sz="4"/>
            </w:tcBorders>
            <w:tcMar>
              <w:top w:type="dxa" w:w="60"/>
              <w:left w:type="dxa" w:w="100"/>
              <w:bottom w:type="dxa" w:w="60"/>
              <w:right w:type="dxa" w:w="100"/>
            </w:tcMar>
          </w:tcPr>
          <w:p>
            <w:pPr>
              <w:spacing w:after="0"/>
            </w:pPr>
            <w:r>
              <w:rPr>
                <w:b w:val="false"/>
                <w:bCs w:val="false"/>
                <w:sz w:val="19"/>
                <w:szCs w:val="19"/>
              </w:rPr>
              <w:t xml:space="preserve">7</w:t>
            </w:r>
          </w:p>
        </w:tc>
        <w:tc>
          <w:tcPr>
            <w:tcW w:type="dxa" w:w="5700"/>
            <w:tcBorders>
              <w:top w:val="single" w:color="B8BEC9" w:sz="4"/>
              <w:left w:val="single" w:color="B8BEC9" w:sz="4"/>
              <w:bottom w:val="single" w:color="B8BEC9" w:sz="4"/>
              <w:right w:val="single" w:color="B8BEC9" w:sz="4"/>
            </w:tcBorders>
            <w:tcMar>
              <w:top w:type="dxa" w:w="60"/>
              <w:left w:type="dxa" w:w="100"/>
              <w:bottom w:type="dxa" w:w="60"/>
              <w:right w:type="dxa" w:w="100"/>
            </w:tcMar>
          </w:tcPr>
          <w:p>
            <w:pPr>
              <w:spacing w:after="0"/>
            </w:pPr>
            <w:r>
              <w:rPr>
                <w:b w:val="false"/>
                <w:bCs w:val="false"/>
                <w:sz w:val="19"/>
                <w:szCs w:val="19"/>
              </w:rPr>
              <w:t xml:space="preserve">Décider, après une nouvelle analyse de risques, s'il y aura vol en représentation (vol_en_representation)</w:t>
            </w:r>
          </w:p>
        </w:tc>
        <w:tc>
          <w:tcPr>
            <w:tcW w:type="dxa" w:w="3160"/>
            <w:tcBorders>
              <w:top w:val="single" w:color="B8BEC9" w:sz="4"/>
              <w:left w:val="single" w:color="B8BEC9" w:sz="4"/>
              <w:bottom w:val="single" w:color="B8BEC9" w:sz="4"/>
              <w:right w:val="single" w:color="B8BEC9" w:sz="4"/>
            </w:tcBorders>
            <w:tcMar>
              <w:top w:type="dxa" w:w="60"/>
              <w:left w:type="dxa" w:w="100"/>
              <w:bottom w:type="dxa" w:w="60"/>
              <w:right w:type="dxa" w:w="100"/>
            </w:tcMar>
          </w:tcPr>
          <w:p>
            <w:pPr>
              <w:spacing w:after="0"/>
            </w:pPr>
            <w:r>
              <w:rPr>
                <w:b w:val="false"/>
                <w:bCs w:val="false"/>
                <w:sz w:val="19"/>
                <w:szCs w:val="19"/>
              </w:rPr>
              <w:t xml:space="preserve">Mode « représentation » réel</w:t>
            </w:r>
          </w:p>
        </w:tc>
      </w:tr>
    </w:tbl>
    <w:p>
      <w:pPr>
        <w:pStyle w:val="Heading1"/>
        <w:spacing w:after="140" w:before="300"/>
      </w:pPr>
      <w:r>
        <w:t xml:space="preserve">9. Limites</w:t>
      </w:r>
    </w:p>
    <w:p>
      <w:pPr>
        <w:pStyle w:val="ListParagraph"/>
        <w:numPr>
          <w:ilvl w:val="0"/>
          <w:numId w:val="2"/>
        </w:numPr>
        <w:spacing w:after="80" w:line="276"/>
        <w:jc w:val="both"/>
      </w:pPr>
      <w:r>
        <w:t xml:space="preserve">La reconnaissance vocale n'a été éprouvée qu'avec un moteur de reconnaissance simulé, dans un navigateur sans microphone ; sa fiabilité dans le bruit d'une salle (ventilation, moteurs, musique, voix des interprètes) n'a pas été mesurée, et la disponibilité du traitement sur l'appareil dépend du navigateur et de sa version.</w:t>
      </w:r>
    </w:p>
    <w:p>
      <w:pPr>
        <w:pStyle w:val="ListParagraph"/>
        <w:numPr>
          <w:ilvl w:val="0"/>
          <w:numId w:val="2"/>
        </w:numPr>
        <w:spacing w:after="80" w:line="276"/>
        <w:jc w:val="both"/>
      </w:pPr>
      <w:r>
        <w:t xml:space="preserve">Une phrase qui combine deux directions dans un même ordre (« avance de 2 mètres à droite ») n'en retient que la première ; il faut les séparer par « puis ».</w:t>
      </w:r>
    </w:p>
    <w:p>
      <w:pPr>
        <w:pStyle w:val="ListParagraph"/>
        <w:numPr>
          <w:ilvl w:val="0"/>
          <w:numId w:val="2"/>
        </w:numPr>
        <w:spacing w:after="80" w:line="276"/>
        <w:jc w:val="both"/>
      </w:pPr>
      <w:r>
        <w:t xml:space="preserve">Aucun drone physique n'a été commandé : l'adaptateur MAVLink a été éprouvé contre un véhicule factice construit avec pymavlink, l'adaptateur Tello contre un serveur UDP factice, l'adaptateur JSON contre un compagnon factice.</w:t>
      </w:r>
    </w:p>
    <w:p>
      <w:pPr>
        <w:pStyle w:val="ListParagraph"/>
        <w:numPr>
          <w:ilvl w:val="0"/>
          <w:numId w:val="2"/>
        </w:numPr>
        <w:spacing w:after="80" w:line="276"/>
        <w:jc w:val="both"/>
      </w:pPr>
      <w:r>
        <w:t xml:space="preserve">Les signes de la composante latérale et du lacet de la commande « rc » du Tello ne sont pas précisés par le guide du SDK consulté ; ils sont réglables (inverser_rc_lateral) et doivent être vérifiés au banc, hélices retirées.</w:t>
      </w:r>
    </w:p>
    <w:p>
      <w:pPr>
        <w:pStyle w:val="ListParagraph"/>
        <w:numPr>
          <w:ilvl w:val="0"/>
          <w:numId w:val="2"/>
        </w:numPr>
        <w:spacing w:after="80" w:line="276"/>
        <w:jc w:val="both"/>
      </w:pPr>
      <w:r>
        <w:t xml:space="preserve">Le Tello ne se localise pas dans la salle : sa position, estimée à partir des déplacements acceptés, dérive ; les zones ne peuvent alors garantir qu'une conformité approximative, ce que la page signale.</w:t>
      </w:r>
    </w:p>
    <w:p>
      <w:pPr>
        <w:pStyle w:val="ListParagraph"/>
        <w:numPr>
          <w:ilvl w:val="0"/>
          <w:numId w:val="2"/>
        </w:numPr>
        <w:spacing w:after="80" w:line="276"/>
        <w:jc w:val="both"/>
      </w:pPr>
      <w:r>
        <w:t xml:space="preserve">Le modèle de vol du drone virtuel ne simule ni l'effet de sol, ni les remous près des murs, ni la dérive d'un appareil réel ; la turbulence de ventilation est un bruit simple.</w:t>
      </w:r>
    </w:p>
    <w:p>
      <w:pPr>
        <w:pStyle w:val="ListParagraph"/>
        <w:numPr>
          <w:ilvl w:val="0"/>
          <w:numId w:val="2"/>
        </w:numPr>
        <w:spacing w:after="80" w:line="276"/>
        <w:jc w:val="both"/>
      </w:pPr>
      <w:r>
        <w:t xml:space="preserve">Dans un navigateur sans accélération graphique, l'affichage peut tomber à quelques images par seconde ; le temps simulé suit alors le temps réel par pas fixes et la conduite attend la fin effective de chaque trajectoire, mais la fluidité n'est assurée qu'avec une carte graphique.</w:t>
      </w:r>
    </w:p>
    <w:p>
      <w:pPr>
        <w:pStyle w:val="ListParagraph"/>
        <w:numPr>
          <w:ilvl w:val="0"/>
          <w:numId w:val="2"/>
        </w:numPr>
        <w:spacing w:after="80" w:line="276"/>
        <w:jc w:val="both"/>
      </w:pPr>
      <w:r>
        <w:t xml:space="preserve">Seule la barre de navigation de la page est bilingue ; le contenu de la page Drone n'est encore qu'en français, contrairement aux pages de la plateforme qui basculent entièrement vers l'anglais.</w:t>
      </w:r>
    </w:p>
    <w:p>
      <w:pPr>
        <w:pStyle w:val="ListParagraph"/>
        <w:numPr>
          <w:ilvl w:val="0"/>
          <w:numId w:val="2"/>
        </w:numPr>
        <w:spacing w:after="80" w:line="276"/>
        <w:jc w:val="both"/>
      </w:pPr>
      <w:r>
        <w:t xml:space="preserve">Le chemin MediaMTX et le format de l'adresse WHEP proviennent de la documentation consultée ; la latence d'un flux 4K relayé n'a pas été mesurée.</w:t>
      </w:r>
    </w:p>
    <w:p>
      <w:pPr>
        <w:pStyle w:val="Heading1"/>
        <w:spacing w:after="140" w:before="300"/>
      </w:pPr>
      <w:r>
        <w:t xml:space="preserve">Ouvrages cités</w:t>
      </w:r>
    </w:p>
    <w:p>
      <w:pPr>
        <w:spacing w:after="100" w:line="276"/>
        <w:ind w:left="720" w:hanging="720"/>
      </w:pPr>
      <w:r>
        <w:rPr>
          <w:sz w:val="21"/>
          <w:szCs w:val="21"/>
        </w:rPr>
        <w:t xml:space="preserve">ArduPilot Dev Team. « Arming and Disarming. » ArduPilot Developer Documentation, ardupilot.org/dev/docs/mavlink-arming-and-disarming.html. Consulté le 19 oct. 2026.</w:t>
      </w:r>
    </w:p>
    <w:p>
      <w:pPr>
        <w:spacing w:after="100" w:line="276"/>
        <w:ind w:left="720" w:hanging="720"/>
      </w:pPr>
      <w:r>
        <w:rPr>
          <w:sz w:val="21"/>
          <w:szCs w:val="21"/>
        </w:rPr>
        <w:t xml:space="preserve">ArduPilot Dev Team. « Copter Commands in Guided Mode. » ArduPilot Developer Documentation, ardupilot.org/dev/docs/copter-commands-in-guided-mode.html. Consulté le 19 oct. 2026.</w:t>
      </w:r>
    </w:p>
    <w:p>
      <w:pPr>
        <w:spacing w:after="100" w:line="276"/>
        <w:ind w:left="720" w:hanging="720"/>
      </w:pPr>
      <w:r>
        <w:rPr>
          <w:sz w:val="21"/>
          <w:szCs w:val="21"/>
        </w:rPr>
        <w:t xml:space="preserve">Eriksson, Sara, et al. « Dancing With Drones: Crafting Novel Artistic Expressions Through Intercorporeality. » Proceedings of the 2019 CHI Conference on Human Factors in Computing Systems, ACM, 2019, https://doi.org/10.1145/3290605.3300847.</w:t>
      </w:r>
    </w:p>
    <w:p>
      <w:pPr>
        <w:spacing w:after="100" w:line="276"/>
        <w:ind w:left="720" w:hanging="720"/>
      </w:pPr>
      <w:r>
        <w:rPr>
          <w:sz w:val="21"/>
          <w:szCs w:val="21"/>
        </w:rPr>
        <w:t xml:space="preserve">Flash, Tamar, et Neville Hogan. « The Coordination of Arm Movements: An Experimentally Confirmed Mathematical Model. » The Journal of Neuroscience, vol. 5, 1985, p. 1688-1703.</w:t>
      </w:r>
    </w:p>
    <w:p>
      <w:pPr>
        <w:spacing w:after="100" w:line="276"/>
        <w:ind w:left="720" w:hanging="720"/>
      </w:pPr>
      <w:r>
        <w:rPr>
          <w:sz w:val="21"/>
          <w:szCs w:val="21"/>
        </w:rPr>
        <w:t xml:space="preserve">Hoffmann, Christian. « Indoor Drones Make History on Broadway. » Robohub, 14 juin 2017, robohub.org/indoor-drones-make-history-on-broadway/.</w:t>
      </w:r>
    </w:p>
    <w:p>
      <w:pPr>
        <w:spacing w:after="100" w:line="276"/>
        <w:ind w:left="720" w:hanging="720"/>
      </w:pPr>
      <w:r>
        <w:rPr>
          <w:sz w:val="21"/>
          <w:szCs w:val="21"/>
        </w:rPr>
        <w:t xml:space="preserve">ISO/IEC. ISO/IEC 42001:2023, Information Technology — Artificial Intelligence — Management System. Organisation internationale de normalisation, déc. 2023.</w:t>
      </w:r>
    </w:p>
    <w:p>
      <w:pPr>
        <w:spacing w:after="100" w:line="276"/>
        <w:ind w:left="720" w:hanging="720"/>
      </w:pPr>
      <w:r>
        <w:rPr>
          <w:sz w:val="21"/>
          <w:szCs w:val="21"/>
        </w:rPr>
        <w:t xml:space="preserve">« MediaTrackConstraints: width property. » MDN Web Docs, Mozilla, developer.mozilla.org/en-US/docs/Web/API/MediaTrackConstraints/width. Consulté le 19 oct. 2026.</w:t>
      </w:r>
    </w:p>
    <w:p>
      <w:pPr>
        <w:spacing w:after="100" w:line="276"/>
        <w:ind w:left="720" w:hanging="720"/>
      </w:pPr>
      <w:r>
        <w:rPr>
          <w:sz w:val="21"/>
          <w:szCs w:val="21"/>
        </w:rPr>
        <w:t xml:space="preserve">Murillo, Sergio, et al. WebRTC-HTTP Egress Protocol (WHEP). Internet-Draft draft-ietf-wish-whep-04, IETF, 22 juin 2026, www.ietf.org/archive/id/draft-ietf-wish-whep-04.html. Travail en cours.</w:t>
      </w:r>
    </w:p>
    <w:p>
      <w:pPr>
        <w:spacing w:after="100" w:line="276"/>
        <w:ind w:left="720" w:hanging="720"/>
      </w:pPr>
      <w:r>
        <w:rPr>
          <w:sz w:val="21"/>
          <w:szCs w:val="21"/>
        </w:rPr>
        <w:t xml:space="preserve">« Read a stream with WebRTC. » MediaMTX Documentation, mediamtx.org/docs/read/webrtc. Consulté le 19 oct. 2026.</w:t>
      </w:r>
    </w:p>
    <w:p>
      <w:pPr>
        <w:spacing w:after="100" w:line="276"/>
        <w:ind w:left="720" w:hanging="720"/>
      </w:pPr>
      <w:r>
        <w:rPr>
          <w:sz w:val="21"/>
          <w:szCs w:val="21"/>
        </w:rPr>
        <w:t xml:space="preserve">Ryze Tech. Tello SDK 2.0 User Guide. xcopter.com/download/Tello SDK 2.0 User Guide.pdf. Consulté le 19 oct. 2026.</w:t>
      </w:r>
    </w:p>
    <w:p>
      <w:pPr>
        <w:spacing w:after="100" w:line="276"/>
        <w:ind w:left="720" w:hanging="720"/>
      </w:pPr>
      <w:r>
        <w:rPr>
          <w:sz w:val="21"/>
          <w:szCs w:val="21"/>
        </w:rPr>
        <w:t xml:space="preserve">« SpeechRecognition: processLocally Property. » MDN Web Docs, Mozilla, 30 sept. 2025, developer.mozilla.org/en-US/docs/Web/API/SpeechRecognition/processLocally. Consulté le 19 oct. 2026.</w:t>
      </w:r>
    </w:p>
    <w:p>
      <w:pPr>
        <w:spacing w:after="100" w:line="276"/>
        <w:ind w:left="720" w:hanging="720"/>
      </w:pPr>
      <w:r>
        <w:rPr>
          <w:sz w:val="21"/>
          <w:szCs w:val="21"/>
        </w:rPr>
        <w:t xml:space="preserve">Toronto Metropolitan University. « Drone Safety &amp; Authorization Requirements. » Facilities Management and Development, www.torontomu.ca/facilities-management-development/environmental-health-safety/hazards-at-work/drone-safety/. Consulté le 19 oct. 2026.</w:t>
      </w:r>
    </w:p>
    <w:p>
      <w:pPr>
        <w:spacing w:after="100" w:line="276"/>
        <w:ind w:left="720" w:hanging="720"/>
      </w:pPr>
      <w:r>
        <w:rPr>
          <w:sz w:val="21"/>
          <w:szCs w:val="21"/>
        </w:rPr>
        <w:t xml:space="preserve">Transport Canada. « Flying Your Drone Safely and Legally. » Gouvernement du Canada, modifié le 4 nov. 2025, tc.canada.ca/en/aviation/drone-safety/learn-rules-you-fly-your-drone/flying-your-drone-safely-legally. Consulté le 19 oct. 2026.</w:t>
      </w:r>
    </w:p>
    <w:p>
      <w:pPr>
        <w:spacing w:after="100" w:line="276"/>
        <w:ind w:left="720" w:hanging="720"/>
      </w:pPr>
      <w:r>
        <w:rPr>
          <w:sz w:val="21"/>
          <w:szCs w:val="21"/>
        </w:rPr>
        <w:t xml:space="preserve">« Using the Web Speech API. » MDN Web Docs, Mozilla, 31 août 2026, developer.mozilla.org/en-US/docs/Web/API/Web_Speech_API/Using_the_Web_Speech_API. Consulté le 19 oct. 2026.</w:t>
      </w:r>
    </w:p>
    <w:p>
      <w:pPr>
        <w:spacing w:after="120" w:line="288"/>
        <w:jc w:val="both"/>
      </w:pPr>
      <w:r>
        <w:rPr>
          <w:i/>
          <w:iCs/>
        </w:rPr>
        <w:t xml:space="preserve">Note : le numéro du fascicule et le DOI de l'article de Flash et Hogan n'ont pas été confirmés dans la notice consultée et sont donc omis ; l'auteur du guide Tello est donné d'après l'en-tête du document (Ryze Tech). Les autres références ont été consultées en ligne le 19 octobre 2026.</w:t>
      </w:r>
    </w:p>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F2B544" w:sz="12"/>
              <w:left w:val="single" w:color="B8BEC9" w:sz="4"/>
              <w:bottom w:val="single" w:color="B8BEC9" w:sz="4"/>
              <w:right w:val="single" w:color="B8BEC9" w:sz="4"/>
            </w:tcBorders>
            <w:shd w:fill="F7F3E8" w:color="auto" w:val="clear"/>
            <w:tcMar>
              <w:top w:type="dxa" w:w="120"/>
              <w:left w:type="dxa" w:w="160"/>
              <w:bottom w:type="dxa" w:w="120"/>
              <w:right w:type="dxa" w:w="160"/>
            </w:tcMar>
          </w:tcPr>
          <w:p>
            <w:pPr>
              <w:spacing w:after="100"/>
            </w:pPr>
            <w:r>
              <w:rPr>
                <w:b/>
                <w:bCs/>
              </w:rPr>
              <w:t xml:space="preserve">Encadré final — Conformité ISO/IEC 42001 (livraison du drone de scène)</w:t>
            </w:r>
          </w:p>
          <w:p>
            <w:pPr>
              <w:spacing w:after="80" w:line="276"/>
            </w:pPr>
            <w:r>
              <w:rPr>
                <w:i/>
                <w:iCs/>
              </w:rPr>
              <w:t xml:space="preserve">Mise en conformité vérifiée le 19 octobre 2026</w:t>
            </w:r>
          </w:p>
          <w:p>
            <w:pPr>
              <w:spacing w:after="80" w:line="276"/>
            </w:pPr>
            <w:r>
              <w:rPr>
                <w:sz w:val="20"/>
                <w:szCs w:val="20"/>
              </w:rPr>
              <w:t xml:space="preserve">✅ Gouvernance et pilotage — fonction O-13 rattachée à son code, à ses tests et à son reste à faire dans la table de couverture ; décisions réservées au chercheur listées (section 8) ; vol réel fermé par défaut dans la configuration.</w:t>
            </w:r>
          </w:p>
          <w:p>
            <w:pPr>
              <w:spacing w:after="80" w:line="276"/>
            </w:pPr>
            <w:r>
              <w:rPr>
                <w:sz w:val="20"/>
                <w:szCs w:val="20"/>
              </w:rPr>
              <w:t xml:space="preserve">✅ Transparence et documentation — sources citées selon MLA 9e ; commandes vocales interprétées par une grammaire déterministe et affichées au journal avant exécution ; valeurs de conception et masques déduits signalés (Inférence) ; désaccord des sources sur le vol intérieur exposé (section 7) ; limites déclarées (section 9).</w:t>
            </w:r>
          </w:p>
          <w:p>
            <w:pPr>
              <w:spacing w:after="80" w:line="276"/>
            </w:pPr>
            <w:r>
              <w:rPr>
                <w:sz w:val="20"/>
                <w:szCs w:val="20"/>
              </w:rPr>
              <w:t xml:space="preserve">✅ Gestion des risques — zones partagées et vérifiées des deux côtés, survol du public interdit en représentation, cylindres des interprètes, plafonds, chiens de garde, ARRÊT global, coupure confirmée.</w:t>
            </w:r>
          </w:p>
          <w:p>
            <w:pPr>
              <w:spacing w:after="80" w:line="276"/>
            </w:pPr>
            <w:r>
              <w:rPr>
                <w:sz w:val="20"/>
                <w:szCs w:val="20"/>
              </w:rPr>
              <w:t xml:space="preserve">✅ Responsabilité et imputabilité — chaque commande du drone consignée dans le journal de séance avec l'adaptateur, le mode et le motif des refus ; liste de contrôle et salle vide signées d'initiales ; fiche d'incident à chaque arrêt.</w:t>
            </w:r>
          </w:p>
          <w:p>
            <w:pPr>
              <w:spacing w:after="80" w:line="276"/>
            </w:pPr>
            <w:r>
              <w:rPr>
                <w:sz w:val="20"/>
                <w:szCs w:val="20"/>
              </w:rPr>
              <w:t xml:space="preserve">✅ Éthique et parties prenantes — aucune image réelle ni aucun son enregistrés (G-06), reconnaissance vocale exigée sur l'appareil par défaut, avertissement lorsque la caméra vise le public, interprètes informés des trajectoires ; page utilisable au clavier, à la manette et au toucher.</w:t>
            </w:r>
          </w:p>
        </w:tc>
      </w:tr>
    </w:tbl>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B7280"/>
        <w:sz w:val="16"/>
        <w:szCs w:val="16"/>
      </w:rPr>
      <w:t xml:space="preserve">Guide du drone de scène · v1.2 · S. Gagné · page </w:t>
    </w:r>
    <w:r>
      <w:rPr>
        <w:color w:val="6B7280"/>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40" w:before="300"/>
      <w:outlineLvl w:val="0"/>
    </w:pPr>
    <w:rPr>
      <w:rFonts w:ascii="Calibri" w:cs="Calibri" w:eastAsia="Calibri" w:hAnsi="Calibri"/>
      <w:b/>
      <w:bCs/>
      <w:color w:val="1F2430"/>
      <w:sz w:val="30"/>
      <w:szCs w:val="30"/>
    </w:rPr>
  </w:style>
  <w:style w:type="paragraph" w:styleId="Heading2">
    <w:name w:val="Heading 2"/>
    <w:basedOn w:val="Normal"/>
    <w:next w:val="Normal"/>
    <w:qFormat/>
    <w:pPr>
      <w:spacing w:after="100" w:before="200"/>
      <w:outlineLvl w:val="1"/>
    </w:pPr>
    <w:rPr>
      <w:rFonts w:ascii="Calibri" w:cs="Calibri" w:eastAsia="Calibri" w:hAnsi="Calibri"/>
      <w:b/>
      <w:bCs/>
      <w:color w:val="8A6224"/>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du drone de scène ROBO-SCÈNE v1.2</dc:title>
  <dc:creator>Sylvain Gagné</dc:creator>
  <dc:description>Extension O-13 de la plateforme Robo-Scène</dc:description>
  <cp:lastModifiedBy>Un-named</cp:lastModifiedBy>
  <cp:revision>1</cp:revision>
  <dcterms:created xsi:type="dcterms:W3CDTF">2026-10-20T00:42:26.255Z</dcterms:created>
  <dcterms:modified xsi:type="dcterms:W3CDTF">2026-10-20T00:42:26.256Z</dcterms:modified>
</cp:coreProperties>
</file>

<file path=docProps/custom.xml><?xml version="1.0" encoding="utf-8"?>
<Properties xmlns="http://schemas.openxmlformats.org/officeDocument/2006/custom-properties" xmlns:vt="http://schemas.openxmlformats.org/officeDocument/2006/docPropsVTypes"/>
</file>