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2E5597"/>
          <w:sz w:val="20"/>
          <w:szCs w:val="20"/>
        </w:rPr>
        <w:t xml:space="preserve">ROBO-SCÈNE · L'IA au service de la création théâtrale</w:t>
      </w:r>
    </w:p>
    <w:p>
      <w:pPr>
        <w:spacing w:after="80"/>
      </w:pPr>
      <w:r>
        <w:rPr>
          <w:rFonts w:ascii="Calibri" w:cs="Calibri" w:eastAsia="Calibri" w:hAnsi="Calibri"/>
          <w:b/>
          <w:bCs/>
          <w:color w:val="1F3864"/>
          <w:sz w:val="40"/>
          <w:szCs w:val="40"/>
        </w:rPr>
        <w:t xml:space="preserve">Converser avec le robot, le chien et le drone</w:t>
      </w:r>
    </w:p>
    <w:p>
      <w:pPr>
        <w:spacing w:after="60"/>
      </w:pPr>
      <w:r>
        <w:rPr>
          <w:rFonts w:ascii="Calibri" w:cs="Calibri" w:eastAsia="Calibri" w:hAnsi="Calibri"/>
          <w:i/>
          <w:iCs/>
          <w:sz w:val="24"/>
          <w:szCs w:val="24"/>
        </w:rPr>
        <w:t xml:space="preserve">Dialogue parlé, choix du moteur d'IA (Claude, GPT, Grok, Gemini, LM Studio) et liaisons Wi-Fi</w:t>
      </w:r>
    </w:p>
    <w:p>
      <w:pPr>
        <w:pBdr>
          <w:bottom w:val="single" w:color="1F3864" w:sz="6" w:space="4"/>
        </w:pBdr>
        <w:spacing w:after="240"/>
      </w:pPr>
      <w:r>
        <w:rPr>
          <w:rFonts w:ascii="Calibri" w:cs="Calibri" w:eastAsia="Calibri" w:hAnsi="Calibri"/>
          <w:sz w:val="20"/>
          <w:szCs w:val="20"/>
        </w:rPr>
        <w:t xml:space="preserve">Sylvain Gagné, Ph. D. — chercheur indépendant · version 1.0 · 20 octobre 2026</w:t>
      </w:r>
    </w:p>
    <w:sdt>
      <w:sdtPr>
        <w:alias w:val="Table des matières"/>
      </w:sdtPr>
      <w:sdtContent>
        <w:p>
          <w:r>
            <w:fldChar w:fldCharType="begin" w:dirty="true"/>
            <w:instrText xml:space="preserve">TOC \h \o "1-2"</w:instrText>
            <w:fldChar w:fldCharType="separate"/>
          </w:r>
        </w:p>
        <w:p>
          <w:r>
            <w:fldChar w:fldCharType="end"/>
          </w:r>
        </w:p>
      </w:sdtContent>
    </w:sdt>
    <w:p>
      <w:pPr>
        <w:pStyle w:val="Heading1"/>
        <w:spacing w:after="140" w:before="280"/>
      </w:pPr>
      <w:r>
        <w:rPr>
          <w:rFonts w:ascii="Calibri" w:cs="Calibri" w:eastAsia="Calibri" w:hAnsi="Calibri"/>
          <w:b/>
          <w:bCs/>
          <w:color w:val="1F3864"/>
          <w:sz w:val="30"/>
          <w:szCs w:val="30"/>
        </w:rPr>
        <w:t xml:space="preserve">1. Objet</w:t>
      </w:r>
    </w:p>
    <w:p>
      <w:pPr>
        <w:spacing w:after="120" w:line="288"/>
        <w:jc w:val="both"/>
      </w:pPr>
      <w:r>
        <w:rPr>
          <w:rFonts w:ascii="Calibri" w:cs="Calibri" w:eastAsia="Calibri" w:hAnsi="Calibri"/>
          <w:sz w:val="22"/>
          <w:szCs w:val="22"/>
        </w:rPr>
        <w:t xml:space="preserve">Ce guide décrit la manière dont les trois machines de la plateforme, le robot humanoïde, le chien et le drone, entrent en conversation avec une personne, à la voix comme par écrit, et la façon dont l'équipe choisit, machine par machine, le modèle de langage qui leur prête la parole. Le dispositif répond à une double exigence qu'il semble utile d'expliciter d'emblée : ouvrir le plateau à la diversité des moteurs disponibles, nuagiques ou locaux, sans jamais que cette ouverture ne relâche l'aiguillage de sensibilité D03, la fermeture du vocabulaire moteur ni la validation humaine des mouvements, qui demeurent les seuils non négociables de la recherche.</w:t>
      </w:r>
    </w:p>
    <w:p>
      <w:pPr>
        <w:pStyle w:val="Heading1"/>
        <w:spacing w:after="140" w:before="280"/>
      </w:pPr>
      <w:r>
        <w:rPr>
          <w:rFonts w:ascii="Calibri" w:cs="Calibri" w:eastAsia="Calibri" w:hAnsi="Calibri"/>
          <w:b/>
          <w:bCs/>
          <w:color w:val="1F3864"/>
          <w:sz w:val="30"/>
          <w:szCs w:val="30"/>
        </w:rPr>
        <w:t xml:space="preserve">2. Ce que fait la personne</w:t>
      </w:r>
    </w:p>
    <w:p>
      <w:pPr>
        <w:pStyle w:val="ListParagraph"/>
        <w:numPr>
          <w:ilvl w:val="0"/>
          <w:numId w:val="2"/>
        </w:numPr>
        <w:spacing w:after="70" w:line="276"/>
      </w:pPr>
      <w:r>
        <w:rPr>
          <w:rFonts w:ascii="Calibri" w:cs="Calibri" w:eastAsia="Calibri" w:hAnsi="Calibri"/>
          <w:sz w:val="22"/>
          <w:szCs w:val="22"/>
        </w:rPr>
        <w:t xml:space="preserve">Ouvrir la page Robot virtuel, Chien ou Drone, puis l'onglet « Dialogue », et choisir le moteur de la machine (« Automatique » par défaut).</w:t>
      </w:r>
    </w:p>
    <w:p>
      <w:pPr>
        <w:pStyle w:val="ListParagraph"/>
        <w:numPr>
          <w:ilvl w:val="0"/>
          <w:numId w:val="2"/>
        </w:numPr>
        <w:spacing w:after="70" w:line="276"/>
      </w:pPr>
      <w:r>
        <w:rPr>
          <w:rFonts w:ascii="Calibri" w:cs="Calibri" w:eastAsia="Calibri" w:hAnsi="Calibri"/>
          <w:sz w:val="22"/>
          <w:szCs w:val="22"/>
        </w:rPr>
        <w:t xml:space="preserve">Parler au micro (« 🎙 Dicter » pour le robot, « 🎙 Parler » ou la touche V pour le chien et le drone) ou écrire dans le champ prévu.</w:t>
      </w:r>
    </w:p>
    <w:p>
      <w:pPr>
        <w:pStyle w:val="ListParagraph"/>
        <w:numPr>
          <w:ilvl w:val="0"/>
          <w:numId w:val="2"/>
        </w:numPr>
        <w:spacing w:after="70" w:line="276"/>
      </w:pPr>
      <w:r>
        <w:rPr>
          <w:rFonts w:ascii="Calibri" w:cs="Calibri" w:eastAsia="Calibri" w:hAnsi="Calibri"/>
          <w:sz w:val="22"/>
          <w:szCs w:val="22"/>
        </w:rPr>
        <w:t xml:space="preserve">Une phrase comprise comme une commande (« assis », « va au centre », « salue le public ») s'exécute comme auparavant ; toute autre phrase reçoit une réponse parlée de la machine, en une à trois phrases.</w:t>
      </w:r>
    </w:p>
    <w:p>
      <w:pPr>
        <w:pStyle w:val="ListParagraph"/>
        <w:numPr>
          <w:ilvl w:val="0"/>
          <w:numId w:val="2"/>
        </w:numPr>
        <w:spacing w:after="70" w:line="276"/>
      </w:pPr>
      <w:r>
        <w:rPr>
          <w:rFonts w:ascii="Calibri" w:cs="Calibri" w:eastAsia="Calibri" w:hAnsi="Calibri"/>
          <w:sz w:val="22"/>
          <w:szCs w:val="22"/>
        </w:rPr>
        <w:t xml:space="preserve">Si la machine propose un geste ou un déplacement, la proposition s'affiche sous sa réponse : rien ne bouge avant le clic « Valider » ; « Rejeter » l'écarte.</w:t>
      </w:r>
    </w:p>
    <w:p>
      <w:pPr>
        <w:pStyle w:val="ListParagraph"/>
        <w:numPr>
          <w:ilvl w:val="0"/>
          <w:numId w:val="2"/>
        </w:numPr>
        <w:spacing w:after="70" w:line="276"/>
      </w:pPr>
      <w:r>
        <w:rPr>
          <w:rFonts w:ascii="Calibri" w:cs="Calibri" w:eastAsia="Calibri" w:hAnsi="Calibri"/>
          <w:sz w:val="22"/>
          <w:szCs w:val="22"/>
        </w:rPr>
        <w:t xml:space="preserve">« Se taire » interrompt la voix ; « Oublier l'échange » efface la mémoire courte (six tours) ; « stop » et « arrêt d'urgence » restent immédiats, même pendant que la machine parle.</w:t>
      </w:r>
    </w:p>
    <w:p>
      <w:pPr>
        <w:spacing w:after="120" w:line="288"/>
        <w:jc w:val="both"/>
      </w:pPr>
      <w:r>
        <w:rPr>
          <w:rFonts w:ascii="Calibri" w:cs="Calibri" w:eastAsia="Calibri" w:hAnsi="Calibri"/>
          <w:sz w:val="22"/>
          <w:szCs w:val="22"/>
        </w:rPr>
        <w:t xml:space="preserve">Le robot répond de sa propre voix, lèvres synchronisées, et peut aussi parler par le haut-parleur du TonyPi Pro relié ; le chien et le drone empruntent l'une des six voix humaines fictives de la plateforme (Sophie et Claire par défaut). La page fonctionne en demi-duplex : pendant la réponse et 1,2 s après, ce que capte le micro est écarté, et un écho reconnu de la voix de la machine est ignoré.</w:t>
      </w:r>
    </w:p>
    <w:p>
      <w:pPr>
        <w:pStyle w:val="Heading1"/>
        <w:spacing w:after="140" w:before="280"/>
      </w:pPr>
      <w:r>
        <w:rPr>
          <w:rFonts w:ascii="Calibri" w:cs="Calibri" w:eastAsia="Calibri" w:hAnsi="Calibri"/>
          <w:b/>
          <w:bCs/>
          <w:color w:val="1F3864"/>
          <w:sz w:val="30"/>
          <w:szCs w:val="30"/>
        </w:rPr>
        <w:t xml:space="preserve">3. Les moteurs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3400"/>
        <w:gridCol w:w="2838"/>
        <w:gridCol w:w="1700"/>
      </w:tblGrid>
      <w:tr>
        <w:trPr>
          <w:cantSplit/>
          <w:tblHeader/>
        </w:trPr>
        <w:tc>
          <w:tcPr>
            <w:tcW w:type="dxa" w:w="1700"/>
            <w:tcBorders>
              <w:top w:val="single" w:color="B7BCC6" w:sz="4"/>
              <w:left w:val="single" w:color="B7BCC6" w:sz="4"/>
              <w:bottom w:val="single" w:color="B7BCC6" w:sz="4"/>
              <w:right w:val="single" w:color="B7BCC6" w:sz="4"/>
            </w:tcBorders>
            <w:shd w:fill="1F3864" w:color="auto" w:val="clear"/>
            <w:tcMar>
              <w:top w:type="dxa" w:w="60"/>
              <w:left w:type="dxa" w:w="100"/>
              <w:bottom w:type="dxa" w:w="60"/>
              <w:right w:type="dxa" w:w="100"/>
            </w:tcMar>
          </w:tcPr>
          <w:p>
            <w:pPr>
              <w:keepNext w:val="false"/>
              <w:keepLines/>
            </w:pPr>
            <w:r>
              <w:rPr>
                <w:rFonts w:ascii="Calibri" w:cs="Calibri" w:eastAsia="Calibri" w:hAnsi="Calibri"/>
                <w:b/>
                <w:bCs/>
                <w:color w:val="FFFFFF"/>
                <w:sz w:val="19"/>
                <w:szCs w:val="19"/>
              </w:rPr>
              <w:t xml:space="preserve">Moteur</w:t>
            </w:r>
          </w:p>
        </w:tc>
        <w:tc>
          <w:tcPr>
            <w:tcW w:type="dxa" w:w="3400"/>
            <w:tcBorders>
              <w:top w:val="single" w:color="B7BCC6" w:sz="4"/>
              <w:left w:val="single" w:color="B7BCC6" w:sz="4"/>
              <w:bottom w:val="single" w:color="B7BCC6" w:sz="4"/>
              <w:right w:val="single" w:color="B7BCC6" w:sz="4"/>
            </w:tcBorders>
            <w:shd w:fill="1F3864" w:color="auto" w:val="clear"/>
            <w:tcMar>
              <w:top w:type="dxa" w:w="60"/>
              <w:left w:type="dxa" w:w="100"/>
              <w:bottom w:type="dxa" w:w="60"/>
              <w:right w:type="dxa" w:w="100"/>
            </w:tcMar>
          </w:tcPr>
          <w:p>
            <w:pPr>
              <w:keepNext w:val="false"/>
              <w:keepLines/>
            </w:pPr>
            <w:r>
              <w:rPr>
                <w:rFonts w:ascii="Calibri" w:cs="Calibri" w:eastAsia="Calibri" w:hAnsi="Calibri"/>
                <w:b/>
                <w:bCs/>
                <w:color w:val="FFFFFF"/>
                <w:sz w:val="19"/>
                <w:szCs w:val="19"/>
              </w:rPr>
              <w:t xml:space="preserve">Familles et version de référence</w:t>
            </w:r>
          </w:p>
        </w:tc>
        <w:tc>
          <w:tcPr>
            <w:tcW w:type="dxa" w:w="2838"/>
            <w:tcBorders>
              <w:top w:val="single" w:color="B7BCC6" w:sz="4"/>
              <w:left w:val="single" w:color="B7BCC6" w:sz="4"/>
              <w:bottom w:val="single" w:color="B7BCC6" w:sz="4"/>
              <w:right w:val="single" w:color="B7BCC6" w:sz="4"/>
            </w:tcBorders>
            <w:shd w:fill="1F3864" w:color="auto" w:val="clear"/>
            <w:tcMar>
              <w:top w:type="dxa" w:w="60"/>
              <w:left w:type="dxa" w:w="100"/>
              <w:bottom w:type="dxa" w:w="60"/>
              <w:right w:type="dxa" w:w="100"/>
            </w:tcMar>
          </w:tcPr>
          <w:p>
            <w:pPr>
              <w:keepNext w:val="false"/>
              <w:keepLines/>
            </w:pPr>
            <w:r>
              <w:rPr>
                <w:rFonts w:ascii="Calibri" w:cs="Calibri" w:eastAsia="Calibri" w:hAnsi="Calibri"/>
                <w:b/>
                <w:bCs/>
                <w:color w:val="FFFFFF"/>
                <w:sz w:val="19"/>
                <w:szCs w:val="19"/>
              </w:rPr>
              <w:t xml:space="preserve">Activation</w:t>
            </w:r>
          </w:p>
        </w:tc>
        <w:tc>
          <w:tcPr>
            <w:tcW w:type="dxa" w:w="1700"/>
            <w:tcBorders>
              <w:top w:val="single" w:color="B7BCC6" w:sz="4"/>
              <w:left w:val="single" w:color="B7BCC6" w:sz="4"/>
              <w:bottom w:val="single" w:color="B7BCC6" w:sz="4"/>
              <w:right w:val="single" w:color="B7BCC6" w:sz="4"/>
            </w:tcBorders>
            <w:shd w:fill="1F3864" w:color="auto" w:val="clear"/>
            <w:tcMar>
              <w:top w:type="dxa" w:w="60"/>
              <w:left w:type="dxa" w:w="100"/>
              <w:bottom w:type="dxa" w:w="60"/>
              <w:right w:type="dxa" w:w="100"/>
            </w:tcMar>
          </w:tcPr>
          <w:p>
            <w:pPr>
              <w:keepNext w:val="false"/>
              <w:keepLines/>
            </w:pPr>
            <w:r>
              <w:rPr>
                <w:rFonts w:ascii="Calibri" w:cs="Calibri" w:eastAsia="Calibri" w:hAnsi="Calibri"/>
                <w:b/>
                <w:bCs/>
                <w:color w:val="FFFFFF"/>
                <w:sz w:val="19"/>
                <w:szCs w:val="19"/>
              </w:rPr>
              <w:t xml:space="preserve">Registre</w:t>
            </w:r>
          </w:p>
        </w:tc>
      </w:tr>
      <w:tr>
        <w:trPr>
          <w:cantSplit/>
        </w:trPr>
        <w:tc>
          <w:tcPr>
            <w:tcW w:type="dxa" w:w="17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Claude (Anthropic)</w:t>
            </w:r>
          </w:p>
        </w:tc>
        <w:tc>
          <w:tcPr>
            <w:tcW w:type="dxa" w:w="34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Opus et Sonnet ; claude-opus-5-5, claude-sonnet-5-5</w:t>
            </w:r>
          </w:p>
        </w:tc>
        <w:tc>
          <w:tcPr>
            <w:tcW w:type="dxa" w:w="28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ANTHROPIC_API_KEY</w:t>
            </w:r>
          </w:p>
        </w:tc>
        <w:tc>
          <w:tcPr>
            <w:tcW w:type="dxa" w:w="17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SI-01</w:t>
            </w:r>
          </w:p>
        </w:tc>
      </w:tr>
      <w:tr>
        <w:trPr>
          <w:cantSplit/>
        </w:trPr>
        <w:tc>
          <w:tcPr>
            <w:tcW w:type="dxa" w:w="17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GPT (OpenAI)</w:t>
            </w:r>
          </w:p>
        </w:tc>
        <w:tc>
          <w:tcPr>
            <w:tcW w:type="dxa" w:w="34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Sol, Luna, Terra (en attente) ; gpt-6.1-sol, gpt-6-luna</w:t>
            </w:r>
          </w:p>
        </w:tc>
        <w:tc>
          <w:tcPr>
            <w:tcW w:type="dxa" w:w="28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OPENAI_API_KEY</w:t>
            </w:r>
          </w:p>
        </w:tc>
        <w:tc>
          <w:tcPr>
            <w:tcW w:type="dxa" w:w="17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SI-08</w:t>
            </w:r>
          </w:p>
        </w:tc>
      </w:tr>
      <w:tr>
        <w:trPr>
          <w:cantSplit/>
        </w:trPr>
        <w:tc>
          <w:tcPr>
            <w:tcW w:type="dxa" w:w="17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Grok (xAI)</w:t>
            </w:r>
          </w:p>
        </w:tc>
        <w:tc>
          <w:tcPr>
            <w:tcW w:type="dxa" w:w="34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grok-4.7, modèle phare de l'API</w:t>
            </w:r>
          </w:p>
        </w:tc>
        <w:tc>
          <w:tcPr>
            <w:tcW w:type="dxa" w:w="28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XAI_API_KEY</w:t>
            </w:r>
          </w:p>
        </w:tc>
        <w:tc>
          <w:tcPr>
            <w:tcW w:type="dxa" w:w="17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SI-09</w:t>
            </w:r>
          </w:p>
        </w:tc>
      </w:tr>
      <w:tr>
        <w:trPr>
          <w:cantSplit/>
        </w:trPr>
        <w:tc>
          <w:tcPr>
            <w:tcW w:type="dxa" w:w="17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Gemini (Google)</w:t>
            </w:r>
          </w:p>
        </w:tc>
        <w:tc>
          <w:tcPr>
            <w:tcW w:type="dxa" w:w="34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Argon et Flash ; gemini-4-argon, gemini-3.8-flash</w:t>
            </w:r>
          </w:p>
        </w:tc>
        <w:tc>
          <w:tcPr>
            <w:tcW w:type="dxa" w:w="28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GEMINI_API_KEY ou GOOGLE_API_KEY, projet avec facturation</w:t>
            </w:r>
          </w:p>
        </w:tc>
        <w:tc>
          <w:tcPr>
            <w:tcW w:type="dxa" w:w="17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SI-10</w:t>
            </w:r>
          </w:p>
        </w:tc>
      </w:tr>
      <w:tr>
        <w:trPr>
          <w:cantSplit/>
        </w:trPr>
        <w:tc>
          <w:tcPr>
            <w:tcW w:type="dxa" w:w="17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LM Studio</w:t>
            </w:r>
          </w:p>
        </w:tc>
        <w:tc>
          <w:tcPr>
            <w:tcW w:type="dxa" w:w="34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Tout modèle de langage chargé (les modèles de plongement sont écartés)</w:t>
            </w:r>
          </w:p>
        </w:tc>
        <w:tc>
          <w:tcPr>
            <w:tcW w:type="dxa" w:w="28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url_local ; reseau_local pour un autre poste</w:t>
            </w:r>
          </w:p>
        </w:tc>
        <w:tc>
          <w:tcPr>
            <w:tcW w:type="dxa" w:w="17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SI-02 pour le modèle désigné</w:t>
            </w:r>
          </w:p>
        </w:tc>
      </w:tr>
    </w:tbl>
    <w:p>
      <w:pPr>
        <w:spacing w:after="120" w:line="288"/>
        <w:jc w:val="both"/>
      </w:pPr>
      <w:r>
        <w:rPr>
          <w:rFonts w:ascii="Calibri" w:cs="Calibri" w:eastAsia="Calibri" w:hAnsi="Calibri"/>
          <w:sz w:val="22"/>
          <w:szCs w:val="22"/>
        </w:rPr>
        <w:t xml:space="preserve">Les versions de référence ont été vérifiées le 20 octobre 2026 : grok-4.7 est donné comme le modèle phare de l'API de xAI (xAI, « Models »), gemini-4-argon comme le plus capable des modèles Gemini (Google, « Latest Model ») et gemini-3.8-flash comme version stable (Google, « Gemini 3.8 Flash »). Conformément à la décision D13, la veille adopte la version la plus récente de chaque famille au début de chaque séance, jamais en cours de séance. La numérotation de xAI se lit comme un nombre décimal : grok-4.20 précède grok-4.7, et le code le traite ainsi.</w:t>
      </w:r>
    </w:p>
    <w:p>
      <w:pPr>
        <w:spacing w:after="120" w:line="288"/>
        <w:jc w:val="both"/>
      </w:pPr>
      <w:r>
        <w:rPr>
          <w:rFonts w:ascii="Calibri" w:cs="Calibri" w:eastAsia="Calibri" w:hAnsi="Calibri"/>
          <w:sz w:val="22"/>
          <w:szCs w:val="22"/>
        </w:rPr>
        <w:t xml:space="preserve">Pour Gemini 4 Argon, Google demande de retirer la température, le top_p et le top_k, qui sont ignorés (Google, « Latest Model ») ; une source secondaire rapporte que ces paramètres le sont aussi depuis Gemini 3.6 Flash et que les générations suivantes renverront une erreur (AI Weekly). Par prudence, le client ne les envoie donc à aucun modèle Gemini de version 3.6 ou plus, et l'écart entre paramètres demandés et appliqués est consigné (A-08).</w:t>
      </w:r>
    </w:p>
    <w:p>
      <w:pPr>
        <w:spacing w:after="120" w:line="288"/>
        <w:jc w:val="both"/>
      </w:pPr>
      <w:r>
        <w:rPr>
          <w:rFonts w:ascii="Calibri" w:cs="Calibri" w:eastAsia="Calibri" w:hAnsi="Calibri"/>
          <w:b/>
          <w:bCs/>
          <w:i/>
          <w:iCs/>
          <w:sz w:val="22"/>
          <w:szCs w:val="22"/>
        </w:rPr>
        <w:t xml:space="preserve">(Inférence) </w:t>
      </w:r>
      <w:r>
        <w:rPr>
          <w:rFonts w:ascii="Calibri" w:cs="Calibri" w:eastAsia="Calibri" w:hAnsi="Calibri"/>
          <w:sz w:val="22"/>
          <w:szCs w:val="22"/>
        </w:rPr>
        <w:t xml:space="preserve">Pour un dialogue de plateau, les modèles rapides (Claude Sonnet, GPT Luna, Gemini Flash) offrent sans doute le meilleur compromis entre latence et qualité de langue ; la comparaison reste à mesurer en séance, avec la grille d'évaluation de SI-02.</w:t>
      </w:r>
    </w:p>
    <w:p>
      <w:pPr>
        <w:pStyle w:val="Heading1"/>
        <w:spacing w:after="140" w:before="280"/>
      </w:pPr>
      <w:r>
        <w:rPr>
          <w:rFonts w:ascii="Calibri" w:cs="Calibri" w:eastAsia="Calibri" w:hAnsi="Calibri"/>
          <w:b/>
          <w:bCs/>
          <w:color w:val="1F3864"/>
          <w:sz w:val="30"/>
          <w:szCs w:val="30"/>
        </w:rPr>
        <w:t xml:space="preserve">4. Liaisons Wi-Fi</w:t>
      </w:r>
    </w:p>
    <w:p>
      <w:pPr>
        <w:pStyle w:val="Heading2"/>
        <w:spacing w:after="100" w:before="200"/>
      </w:pPr>
      <w:r>
        <w:rPr>
          <w:rFonts w:ascii="Calibri" w:cs="Calibri" w:eastAsia="Calibri" w:hAnsi="Calibri"/>
          <w:b/>
          <w:bCs/>
          <w:color w:val="2E5597"/>
          <w:sz w:val="25"/>
          <w:szCs w:val="25"/>
        </w:rPr>
        <w:t xml:space="preserve">4.1 Les machines</w:t>
      </w:r>
    </w:p>
    <w:p>
      <w:pPr>
        <w:spacing w:after="120" w:line="288"/>
        <w:jc w:val="both"/>
      </w:pPr>
      <w:r>
        <w:rPr>
          <w:rFonts w:ascii="Calibri" w:cs="Calibri" w:eastAsia="Calibri" w:hAnsi="Calibri"/>
          <w:sz w:val="22"/>
          <w:szCs w:val="22"/>
        </w:rPr>
        <w:t xml:space="preserve">Les robots se relient au pont par le Wi-Fi : le TonyPi Pro par son point d'accès (192.168.149.1) ou par le réseau de la salle, le chien et le drone par leurs adaptateurs respectifs. Le dialogue ne change rien à ces liaisons : les mouvements validés empruntent le même chemin, avec les mêmes contrôles, que les commandes ordinaires.</w:t>
      </w:r>
    </w:p>
    <w:p>
      <w:pPr>
        <w:pStyle w:val="Heading2"/>
        <w:spacing w:after="100" w:before="200"/>
      </w:pPr>
      <w:r>
        <w:rPr>
          <w:rFonts w:ascii="Calibri" w:cs="Calibri" w:eastAsia="Calibri" w:hAnsi="Calibri"/>
          <w:b/>
          <w:bCs/>
          <w:color w:val="2E5597"/>
          <w:sz w:val="25"/>
          <w:szCs w:val="25"/>
        </w:rPr>
        <w:t xml:space="preserve">4.2 Les tablettes et les téléphones</w:t>
      </w:r>
    </w:p>
    <w:p>
      <w:pPr>
        <w:spacing w:after="120" w:line="288"/>
        <w:jc w:val="both"/>
      </w:pPr>
      <w:r>
        <w:rPr>
          <w:rFonts w:ascii="Calibri" w:cs="Calibri" w:eastAsia="Calibri" w:hAnsi="Calibri"/>
          <w:sz w:val="22"/>
          <w:szCs w:val="22"/>
        </w:rPr>
        <w:t xml:space="preserve">Une tablette du réseau de la scène peut ouvrir les pages du pont (hote = "0.0.0.0", sur un réseau isolé). Le navigateur n'y accorde toutefois le micro que dans un contexte sécurisé, c'est-à-dire une page servie en HTTPS ou depuis localhost (MDN Web Docs). Le pont sait désormais servir en HTTPS : il suffit de renseigner certificat et cle dans la section [serveur] de config.toml.</w:t>
      </w:r>
    </w:p>
    <w:p>
      <w:pPr>
        <w:shd w:fill="F2F4F7" w:color="auto" w:val="clear"/>
        <w:spacing w:after="60"/>
      </w:pPr>
      <w:r>
        <w:rPr>
          <w:rFonts w:ascii="Consolas" w:cs="Consolas" w:eastAsia="Consolas" w:hAnsi="Consolas"/>
          <w:sz w:val="19"/>
          <w:szCs w:val="19"/>
        </w:rPr>
        <w:t xml:space="preserve">mkcert -install</w:t>
      </w:r>
    </w:p>
    <w:p>
      <w:pPr>
        <w:shd w:fill="F2F4F7" w:color="auto" w:val="clear"/>
        <w:spacing w:after="60"/>
      </w:pPr>
      <w:r>
        <w:rPr>
          <w:rFonts w:ascii="Consolas" w:cs="Consolas" w:eastAsia="Consolas" w:hAnsi="Consolas"/>
          <w:sz w:val="19"/>
          <w:szCs w:val="19"/>
        </w:rPr>
        <w:t xml:space="preserve">mkcert 192.168.1.20 robo-scene.local</w:t>
      </w:r>
    </w:p>
    <w:p>
      <w:pPr>
        <w:shd w:fill="F2F4F7" w:color="auto" w:val="clear"/>
        <w:spacing w:after="60"/>
      </w:pPr>
      <w:r>
        <w:rPr>
          <w:rFonts w:ascii="Consolas" w:cs="Consolas" w:eastAsia="Consolas" w:hAnsi="Consolas"/>
          <w:sz w:val="19"/>
          <w:szCs w:val="19"/>
        </w:rPr>
        <w:t xml:space="preserve">[serveur]</w:t>
      </w:r>
    </w:p>
    <w:p>
      <w:pPr>
        <w:shd w:fill="F2F4F7" w:color="auto" w:val="clear"/>
        <w:spacing w:after="60"/>
      </w:pPr>
      <w:r>
        <w:rPr>
          <w:rFonts w:ascii="Consolas" w:cs="Consolas" w:eastAsia="Consolas" w:hAnsi="Consolas"/>
          <w:sz w:val="19"/>
          <w:szCs w:val="19"/>
        </w:rPr>
        <w:t xml:space="preserve">hote = "0.0.0.0"</w:t>
      </w:r>
    </w:p>
    <w:p>
      <w:pPr>
        <w:shd w:fill="F2F4F7" w:color="auto" w:val="clear"/>
        <w:spacing w:after="60"/>
      </w:pPr>
      <w:r>
        <w:rPr>
          <w:rFonts w:ascii="Consolas" w:cs="Consolas" w:eastAsia="Consolas" w:hAnsi="Consolas"/>
          <w:sz w:val="19"/>
          <w:szCs w:val="19"/>
        </w:rPr>
        <w:t xml:space="preserve">certificat = "192.168.1.20+1.pem"</w:t>
      </w:r>
    </w:p>
    <w:p>
      <w:pPr>
        <w:shd w:fill="F2F4F7" w:color="auto" w:val="clear"/>
        <w:spacing w:after="60"/>
      </w:pPr>
      <w:r>
        <w:rPr>
          <w:rFonts w:ascii="Consolas" w:cs="Consolas" w:eastAsia="Consolas" w:hAnsi="Consolas"/>
          <w:sz w:val="19"/>
          <w:szCs w:val="19"/>
        </w:rPr>
        <w:t xml:space="preserve">cle = "192.168.1.20+1-key.pem"</w:t>
      </w:r>
    </w:p>
    <w:p>
      <w:pPr>
        <w:spacing w:after="120" w:line="288"/>
        <w:jc w:val="both"/>
      </w:pPr>
      <w:r>
        <w:rPr>
          <w:rFonts w:ascii="Calibri" w:cs="Calibri" w:eastAsia="Calibri" w:hAnsi="Calibri"/>
          <w:sz w:val="22"/>
          <w:szCs w:val="22"/>
        </w:rPr>
        <w:t xml:space="preserve">L'autorité de certification créée par mkcert doit aussi être installée et approuvée sur la tablette. Sans certificat, le pont reste en HTTP : l'ordinateur du pont garde le micro (127.0.0.1) et la voix des machines fonctionne partout.</w:t>
      </w:r>
    </w:p>
    <w:p>
      <w:pPr>
        <w:pStyle w:val="Heading2"/>
        <w:spacing w:after="100" w:before="200"/>
      </w:pPr>
      <w:r>
        <w:rPr>
          <w:rFonts w:ascii="Calibri" w:cs="Calibri" w:eastAsia="Calibri" w:hAnsi="Calibri"/>
          <w:b/>
          <w:bCs/>
          <w:color w:val="2E5597"/>
          <w:sz w:val="25"/>
          <w:szCs w:val="25"/>
        </w:rPr>
        <w:t xml:space="preserve">4.3 LM Studio sur un autre ordinateur</w:t>
      </w:r>
    </w:p>
    <w:p>
      <w:pPr>
        <w:spacing w:after="120" w:line="288"/>
        <w:jc w:val="both"/>
      </w:pPr>
      <w:r>
        <w:rPr>
          <w:rFonts w:ascii="Calibri" w:cs="Calibri" w:eastAsia="Calibri" w:hAnsi="Calibri"/>
          <w:sz w:val="22"/>
          <w:szCs w:val="22"/>
        </w:rPr>
        <w:t xml:space="preserve">LM Studio peut servir ses modèles sur le réseau local à partir de l'onglet Developer (LM Studio). Pour l'employer depuis le pont, indiquer son adresse privée dans url_local et mettre reseau_local = true. Seules les adresses privées (10.x, 172.16 à 172.31, 192.168.x, *.local) sont alors permises ; tout hôte public, de même que tout modèle annoncé comme distant ou portant une étiquette cloud, reste refusé. Le contenu sensible circulant alors en clair sur le Wi-Fi, un réseau fermé WPA2 ou WPA3 est exigé.</w:t>
      </w:r>
    </w:p>
    <w:p>
      <w:pPr>
        <w:pStyle w:val="Heading1"/>
        <w:spacing w:after="140" w:before="280"/>
      </w:pPr>
      <w:r>
        <w:rPr>
          <w:rFonts w:ascii="Calibri" w:cs="Calibri" w:eastAsia="Calibri" w:hAnsi="Calibri"/>
          <w:b/>
          <w:bCs/>
          <w:color w:val="1F3864"/>
          <w:sz w:val="30"/>
          <w:szCs w:val="30"/>
        </w:rPr>
        <w:t xml:space="preserve">5. Sécurité et gouvernance</w:t>
      </w:r>
    </w:p>
    <w:p>
      <w:pPr>
        <w:pStyle w:val="ListParagraph"/>
        <w:numPr>
          <w:ilvl w:val="0"/>
          <w:numId w:val="3"/>
        </w:numPr>
        <w:spacing w:after="70" w:line="276"/>
      </w:pPr>
      <w:r>
        <w:rPr>
          <w:rFonts w:ascii="Calibri" w:cs="Calibri" w:eastAsia="Calibri" w:hAnsi="Calibri"/>
          <w:sz w:val="22"/>
          <w:szCs w:val="22"/>
        </w:rPr>
        <w:t xml:space="preserve">D03 précède tout choix : un contenu jugé sensible va au modèle local désigné (SI-02), ou il est refusé, quel que soit le moteur sélectionné.</w:t>
      </w:r>
    </w:p>
    <w:p>
      <w:pPr>
        <w:pStyle w:val="ListParagraph"/>
        <w:numPr>
          <w:ilvl w:val="0"/>
          <w:numId w:val="3"/>
        </w:numPr>
        <w:spacing w:after="70" w:line="276"/>
      </w:pPr>
      <w:r>
        <w:rPr>
          <w:rFonts w:ascii="Calibri" w:cs="Calibri" w:eastAsia="Calibri" w:hAnsi="Calibri"/>
          <w:sz w:val="22"/>
          <w:szCs w:val="22"/>
        </w:rPr>
        <w:t xml:space="preserve">Vocabulaire fermé : le modèle ne peut proposer que les gestes, poses, émotions et déplacements de la machine ; le pont borne les valeurs, vérifie l'existence des repères et écarte toujours urgence, coupure et GO.</w:t>
      </w:r>
    </w:p>
    <w:p>
      <w:pPr>
        <w:pStyle w:val="ListParagraph"/>
        <w:numPr>
          <w:ilvl w:val="0"/>
          <w:numId w:val="3"/>
        </w:numPr>
        <w:spacing w:after="70" w:line="276"/>
      </w:pPr>
      <w:r>
        <w:rPr>
          <w:rFonts w:ascii="Calibri" w:cs="Calibri" w:eastAsia="Calibri" w:hAnsi="Calibri"/>
          <w:sz w:val="22"/>
          <w:szCs w:val="22"/>
        </w:rPr>
        <w:t xml:space="preserve">Validation humaine de chaque proposition ; l'arrêt passe par la page, jamais par le modèle.</w:t>
      </w:r>
    </w:p>
    <w:p>
      <w:pPr>
        <w:pStyle w:val="ListParagraph"/>
        <w:numPr>
          <w:ilvl w:val="0"/>
          <w:numId w:val="3"/>
        </w:numPr>
        <w:spacing w:after="70" w:line="276"/>
      </w:pPr>
      <w:r>
        <w:rPr>
          <w:rFonts w:ascii="Calibri" w:cs="Calibri" w:eastAsia="Calibri" w:hAnsi="Calibri"/>
          <w:sz w:val="22"/>
          <w:szCs w:val="22"/>
        </w:rPr>
        <w:t xml:space="preserve">Minimisation : mémoire courte en mémoire vive, effaçable ; le journal de séance garde le moteur, la version, les longueurs, les rejets et les erreurs, jamais le texte des échanges.</w:t>
      </w:r>
    </w:p>
    <w:p>
      <w:pPr>
        <w:pStyle w:val="ListParagraph"/>
        <w:numPr>
          <w:ilvl w:val="0"/>
          <w:numId w:val="3"/>
        </w:numPr>
        <w:spacing w:after="70" w:line="276"/>
      </w:pPr>
      <w:r>
        <w:rPr>
          <w:rFonts w:ascii="Calibri" w:cs="Calibri" w:eastAsia="Calibri" w:hAnsi="Calibri"/>
          <w:sz w:val="22"/>
          <w:szCs w:val="22"/>
        </w:rPr>
        <w:t xml:space="preserve">Transparence : interrogée, la machine se dit pilotée par un modèle d'IA sous la responsabilité de l'équipe.</w:t>
      </w:r>
    </w:p>
    <w:p>
      <w:pPr>
        <w:pStyle w:val="ListParagraph"/>
        <w:numPr>
          <w:ilvl w:val="0"/>
          <w:numId w:val="3"/>
        </w:numPr>
        <w:spacing w:after="70" w:line="276"/>
      </w:pPr>
      <w:r>
        <w:rPr>
          <w:rFonts w:ascii="Calibri" w:cs="Calibri" w:eastAsia="Calibri" w:hAnsi="Calibri"/>
          <w:sz w:val="22"/>
          <w:szCs w:val="22"/>
        </w:rPr>
        <w:t xml:space="preserve">Sans moteur disponible, une voie déterministe répond aux formules usuelles et dit qu'elle ne peut converser.</w:t>
      </w:r>
    </w:p>
    <w:p>
      <w:pPr>
        <w:spacing w:after="120" w:line="288"/>
        <w:jc w:val="both"/>
      </w:pPr>
      <w:r>
        <w:rPr>
          <w:rFonts w:ascii="Calibri" w:cs="Calibri" w:eastAsia="Calibri" w:hAnsi="Calibri"/>
          <w:sz w:val="22"/>
          <w:szCs w:val="22"/>
        </w:rPr>
        <w:t xml:space="preserve">SI-09 (Grok) et SI-10 (Gemini) sont inscrits au registre des systèmes ; leurs fiches fournisseurs F-10 et F-11 restent à établir avant tout usage avec des personnes participantes. Pour Gemini, seule une clé de projet avec facturation est admise.</w:t>
      </w:r>
    </w:p>
    <w:p>
      <w:pPr>
        <w:pStyle w:val="Heading1"/>
        <w:spacing w:after="140" w:before="280"/>
      </w:pPr>
      <w:r>
        <w:rPr>
          <w:rFonts w:ascii="Calibri" w:cs="Calibri" w:eastAsia="Calibri" w:hAnsi="Calibri"/>
          <w:b/>
          <w:bCs/>
          <w:color w:val="1F3864"/>
          <w:sz w:val="30"/>
          <w:szCs w:val="30"/>
        </w:rPr>
        <w:t xml:space="preserve">6. Vérifications</w:t>
      </w:r>
    </w:p>
    <w:p>
      <w:pPr>
        <w:spacing w:after="120" w:line="288"/>
        <w:jc w:val="both"/>
      </w:pPr>
      <w:r>
        <w:rPr>
          <w:rFonts w:ascii="Calibri" w:cs="Calibri" w:eastAsia="Calibri" w:hAnsi="Calibri"/>
          <w:sz w:val="22"/>
          <w:szCs w:val="22"/>
        </w:rPr>
        <w:t xml:space="preserve">Treize tests automatisés couvrent les clients de xAI et de Google (requêtes, paramètres retirés, lecture des réponses), la lecture des versions, l'option de réseau local, le choix du moteur par machine, la primauté de D03 sur ce choix, le vocabulaire fermé, la mémoire courte, la voie déterministe et l'HTTPS du pont ; la suite complète de la plateforme passe sans échec. Les trois pages ont été ouvertes dans Chromium : la liste des moteurs s'affiche, une phrase reçoit une réponse et aucune erreur de script n'apparaît.</w:t>
      </w:r>
    </w:p>
    <w:p>
      <w:pPr>
        <w:spacing w:after="120" w:line="288"/>
        <w:jc w:val="both"/>
      </w:pPr>
      <w:r>
        <w:rPr>
          <w:rFonts w:ascii="Calibri" w:cs="Calibri" w:eastAsia="Calibri" w:hAnsi="Calibri"/>
          <w:sz w:val="22"/>
          <w:szCs w:val="22"/>
        </w:rPr>
        <w:t xml:space="preserve">Les appels réels aux API de xAI et de Google, de même que LM Studio servi par un autre ordinateur, n'ont pu être essayés depuis l'environnement de développement, faute de clés et de réseau local : un premier essai sur le poste de l'équipe, une machine après l'autre, s'impose avant la première séance.</w:t>
      </w:r>
    </w:p>
    <w:p>
      <w:pPr>
        <w:pStyle w:val="Heading1"/>
        <w:spacing w:after="140" w:before="280"/>
      </w:pPr>
      <w:r>
        <w:rPr>
          <w:rFonts w:ascii="Calibri" w:cs="Calibri" w:eastAsia="Calibri" w:hAnsi="Calibri"/>
          <w:b/>
          <w:bCs/>
          <w:color w:val="1F3864"/>
          <w:sz w:val="30"/>
          <w:szCs w:val="30"/>
        </w:rPr>
        <w:t xml:space="preserve">Ouvrages cités</w:t>
      </w:r>
    </w:p>
    <w:p>
      <w:pPr>
        <w:spacing w:after="100"/>
        <w:ind w:left="720" w:hanging="720"/>
      </w:pPr>
      <w:r>
        <w:rPr>
          <w:rFonts w:ascii="Calibri" w:cs="Calibri" w:eastAsia="Calibri" w:hAnsi="Calibri"/>
          <w:sz w:val="22"/>
          <w:szCs w:val="22"/>
        </w:rPr>
        <w:t xml:space="preserve">AI Weekly. « Google Deprecates Temperature, Top-P and Top-K in Gemini 3.6 Flash and All Future Models ». </w:t>
      </w:r>
      <w:r>
        <w:rPr>
          <w:rFonts w:ascii="Calibri" w:cs="Calibri" w:eastAsia="Calibri" w:hAnsi="Calibri"/>
          <w:i/>
          <w:iCs/>
          <w:sz w:val="22"/>
          <w:szCs w:val="22"/>
        </w:rPr>
        <w:t xml:space="preserve">AI Weekly</w:t>
      </w:r>
      <w:r>
        <w:rPr>
          <w:rFonts w:ascii="Calibri" w:cs="Calibri" w:eastAsia="Calibri" w:hAnsi="Calibri"/>
          <w:sz w:val="22"/>
          <w:szCs w:val="22"/>
        </w:rPr>
        <w:t xml:space="preserve">, 22 juill. 2026, aiweekly.co/node/7558. Consulté le 20 oct. 2026.</w:t>
      </w:r>
    </w:p>
    <w:p>
      <w:pPr>
        <w:spacing w:after="100"/>
        <w:ind w:left="720" w:hanging="720"/>
      </w:pPr>
      <w:r>
        <w:rPr>
          <w:rFonts w:ascii="Calibri" w:cs="Calibri" w:eastAsia="Calibri" w:hAnsi="Calibri"/>
          <w:sz w:val="22"/>
          <w:szCs w:val="22"/>
        </w:rPr>
        <w:t xml:space="preserve">Google. « Gemini 3.8 Flash ». </w:t>
      </w:r>
      <w:r>
        <w:rPr>
          <w:rFonts w:ascii="Calibri" w:cs="Calibri" w:eastAsia="Calibri" w:hAnsi="Calibri"/>
          <w:i/>
          <w:iCs/>
          <w:sz w:val="22"/>
          <w:szCs w:val="22"/>
        </w:rPr>
        <w:t xml:space="preserve">Gemini API</w:t>
      </w:r>
      <w:r>
        <w:rPr>
          <w:rFonts w:ascii="Calibri" w:cs="Calibri" w:eastAsia="Calibri" w:hAnsi="Calibri"/>
          <w:sz w:val="22"/>
          <w:szCs w:val="22"/>
        </w:rPr>
        <w:t xml:space="preserve">, Google AI for Developers, ai.google.dev/gemini-api/docs/models/gemini-3.8-flash. Consulté le 20 oct. 2026.</w:t>
      </w:r>
    </w:p>
    <w:p>
      <w:pPr>
        <w:spacing w:after="100"/>
        <w:ind w:left="720" w:hanging="720"/>
      </w:pPr>
      <w:r>
        <w:rPr>
          <w:rFonts w:ascii="Calibri" w:cs="Calibri" w:eastAsia="Calibri" w:hAnsi="Calibri"/>
          <w:sz w:val="22"/>
          <w:szCs w:val="22"/>
        </w:rPr>
        <w:t xml:space="preserve">Google. « Gemini 4 Argon ». </w:t>
      </w:r>
      <w:r>
        <w:rPr>
          <w:rFonts w:ascii="Calibri" w:cs="Calibri" w:eastAsia="Calibri" w:hAnsi="Calibri"/>
          <w:i/>
          <w:iCs/>
          <w:sz w:val="22"/>
          <w:szCs w:val="22"/>
        </w:rPr>
        <w:t xml:space="preserve">Gemini API</w:t>
      </w:r>
      <w:r>
        <w:rPr>
          <w:rFonts w:ascii="Calibri" w:cs="Calibri" w:eastAsia="Calibri" w:hAnsi="Calibri"/>
          <w:sz w:val="22"/>
          <w:szCs w:val="22"/>
        </w:rPr>
        <w:t xml:space="preserve">, Google AI for Developers, 14 oct. 2026, ai.google.dev/gemini-api/docs/models/gemini-4-argon. Consulté le 20 oct. 2026.</w:t>
      </w:r>
    </w:p>
    <w:p>
      <w:pPr>
        <w:spacing w:after="100"/>
        <w:ind w:left="720" w:hanging="720"/>
      </w:pPr>
      <w:r>
        <w:rPr>
          <w:rFonts w:ascii="Calibri" w:cs="Calibri" w:eastAsia="Calibri" w:hAnsi="Calibri"/>
          <w:sz w:val="22"/>
          <w:szCs w:val="22"/>
        </w:rPr>
        <w:t xml:space="preserve">Google. « Latest Model ». </w:t>
      </w:r>
      <w:r>
        <w:rPr>
          <w:rFonts w:ascii="Calibri" w:cs="Calibri" w:eastAsia="Calibri" w:hAnsi="Calibri"/>
          <w:i/>
          <w:iCs/>
          <w:sz w:val="22"/>
          <w:szCs w:val="22"/>
        </w:rPr>
        <w:t xml:space="preserve">Gemini API</w:t>
      </w:r>
      <w:r>
        <w:rPr>
          <w:rFonts w:ascii="Calibri" w:cs="Calibri" w:eastAsia="Calibri" w:hAnsi="Calibri"/>
          <w:sz w:val="22"/>
          <w:szCs w:val="22"/>
        </w:rPr>
        <w:t xml:space="preserve">, Google AI for Developers, 16 oct. 2026, ai.google.dev/gemini-api/docs/latest-model. Consulté le 20 oct. 2026.</w:t>
      </w:r>
    </w:p>
    <w:p>
      <w:pPr>
        <w:spacing w:after="100"/>
        <w:ind w:left="720" w:hanging="720"/>
      </w:pPr>
      <w:r>
        <w:rPr>
          <w:rFonts w:ascii="Calibri" w:cs="Calibri" w:eastAsia="Calibri" w:hAnsi="Calibri"/>
          <w:sz w:val="22"/>
          <w:szCs w:val="22"/>
        </w:rPr>
        <w:t xml:space="preserve">LM Studio. « LM Studio as a Local LLM API Server ». </w:t>
      </w:r>
      <w:r>
        <w:rPr>
          <w:rFonts w:ascii="Calibri" w:cs="Calibri" w:eastAsia="Calibri" w:hAnsi="Calibri"/>
          <w:i/>
          <w:iCs/>
          <w:sz w:val="22"/>
          <w:szCs w:val="22"/>
        </w:rPr>
        <w:t xml:space="preserve">LM Studio Docs</w:t>
      </w:r>
      <w:r>
        <w:rPr>
          <w:rFonts w:ascii="Calibri" w:cs="Calibri" w:eastAsia="Calibri" w:hAnsi="Calibri"/>
          <w:sz w:val="22"/>
          <w:szCs w:val="22"/>
        </w:rPr>
        <w:t xml:space="preserve">, lmstudio.ai/docs/developer/core/server. Consulté le 20 oct. 2026.</w:t>
      </w:r>
    </w:p>
    <w:p>
      <w:pPr>
        <w:spacing w:after="100"/>
        <w:ind w:left="720" w:hanging="720"/>
      </w:pPr>
      <w:r>
        <w:rPr>
          <w:rFonts w:ascii="Calibri" w:cs="Calibri" w:eastAsia="Calibri" w:hAnsi="Calibri"/>
          <w:sz w:val="22"/>
          <w:szCs w:val="22"/>
        </w:rPr>
        <w:t xml:space="preserve">MDN Web Docs. « MediaDevices: getUserMedia() Method ». </w:t>
      </w:r>
      <w:r>
        <w:rPr>
          <w:rFonts w:ascii="Calibri" w:cs="Calibri" w:eastAsia="Calibri" w:hAnsi="Calibri"/>
          <w:i/>
          <w:iCs/>
          <w:sz w:val="22"/>
          <w:szCs w:val="22"/>
        </w:rPr>
        <w:t xml:space="preserve">MDN Web Docs</w:t>
      </w:r>
      <w:r>
        <w:rPr>
          <w:rFonts w:ascii="Calibri" w:cs="Calibri" w:eastAsia="Calibri" w:hAnsi="Calibri"/>
          <w:sz w:val="22"/>
          <w:szCs w:val="22"/>
        </w:rPr>
        <w:t xml:space="preserve">, Mozilla, 30 nov. 2025, developer.mozilla.org/en-US/docs/Web/API/MediaDevices/getUserMedia. Consulté le 20 oct. 2026.</w:t>
      </w:r>
    </w:p>
    <w:p>
      <w:pPr>
        <w:spacing w:after="100"/>
        <w:ind w:left="720" w:hanging="720"/>
      </w:pPr>
      <w:r>
        <w:rPr>
          <w:rFonts w:ascii="Calibri" w:cs="Calibri" w:eastAsia="Calibri" w:hAnsi="Calibri"/>
          <w:sz w:val="22"/>
          <w:szCs w:val="22"/>
        </w:rPr>
        <w:t xml:space="preserve">xAI. « Models ». </w:t>
      </w:r>
      <w:r>
        <w:rPr>
          <w:rFonts w:ascii="Calibri" w:cs="Calibri" w:eastAsia="Calibri" w:hAnsi="Calibri"/>
          <w:i/>
          <w:iCs/>
          <w:sz w:val="22"/>
          <w:szCs w:val="22"/>
        </w:rPr>
        <w:t xml:space="preserve">xAI Docs</w:t>
      </w:r>
      <w:r>
        <w:rPr>
          <w:rFonts w:ascii="Calibri" w:cs="Calibri" w:eastAsia="Calibri" w:hAnsi="Calibri"/>
          <w:sz w:val="22"/>
          <w:szCs w:val="22"/>
        </w:rPr>
        <w:t xml:space="preserve">, docs.x.ai/docs/models. Consulté le 20 oct. 2026.</w:t>
      </w:r>
    </w:p>
    <w:p>
      <w:pPr>
        <w:keepNext/>
        <w:pageBreakBefore/>
        <w:spacing w:after="100" w:before="0"/>
      </w:pPr>
      <w:r>
        <w:rPr>
          <w:rFonts w:ascii="Calibri" w:cs="Calibri" w:eastAsia="Calibri" w:hAnsi="Calibri"/>
          <w:b/>
          <w:bCs/>
          <w:color w:val="1F3864"/>
          <w:sz w:val="24"/>
          <w:szCs w:val="24"/>
        </w:rPr>
        <w:t xml:space="preserve">Encadré final — Conformité ISO/IEC 42001</w:t>
      </w:r>
    </w:p>
    <w:p>
      <w:pPr>
        <w:keepNext/>
        <w:spacing w:after="120" w:line="288"/>
        <w:jc w:val="both"/>
      </w:pPr>
      <w:r>
        <w:rPr>
          <w:rFonts w:ascii="Calibri" w:cs="Calibri" w:eastAsia="Calibri" w:hAnsi="Calibri"/>
          <w:sz w:val="22"/>
          <w:szCs w:val="22"/>
        </w:rPr>
        <w:t xml:space="preserve">Mise en conformité vérifiée le 20 octobre 2026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w:trPr>
          <w:cantSplit/>
          <w:tblHeader/>
        </w:trPr>
        <w:tc>
          <w:tcPr>
            <w:tcW w:type="dxa" w:w="2800"/>
            <w:tcBorders>
              <w:top w:val="single" w:color="B7BCC6" w:sz="4"/>
              <w:left w:val="single" w:color="B7BCC6" w:sz="4"/>
              <w:bottom w:val="single" w:color="B7BCC6" w:sz="4"/>
              <w:right w:val="single" w:color="B7BCC6" w:sz="4"/>
            </w:tcBorders>
            <w:shd w:fill="1F3864" w:color="auto" w:val="clear"/>
            <w:tcMar>
              <w:top w:type="dxa" w:w="60"/>
              <w:left w:type="dxa" w:w="100"/>
              <w:bottom w:type="dxa" w:w="60"/>
              <w:right w:type="dxa" w:w="100"/>
            </w:tcMar>
          </w:tcPr>
          <w:p>
            <w:pPr>
              <w:keepNext/>
              <w:keepLines/>
            </w:pPr>
            <w:r>
              <w:rPr>
                <w:rFonts w:ascii="Calibri" w:cs="Calibri" w:eastAsia="Calibri" w:hAnsi="Calibri"/>
                <w:b/>
                <w:bCs/>
                <w:color w:val="FFFFFF"/>
                <w:sz w:val="19"/>
                <w:szCs w:val="19"/>
              </w:rPr>
              <w:t xml:space="preserve">Principe</w:t>
            </w:r>
          </w:p>
        </w:tc>
        <w:tc>
          <w:tcPr>
            <w:tcW w:type="dxa" w:w="6838"/>
            <w:tcBorders>
              <w:top w:val="single" w:color="B7BCC6" w:sz="4"/>
              <w:left w:val="single" w:color="B7BCC6" w:sz="4"/>
              <w:bottom w:val="single" w:color="B7BCC6" w:sz="4"/>
              <w:right w:val="single" w:color="B7BCC6" w:sz="4"/>
            </w:tcBorders>
            <w:shd w:fill="1F3864" w:color="auto" w:val="clear"/>
            <w:tcMar>
              <w:top w:type="dxa" w:w="60"/>
              <w:left w:type="dxa" w:w="100"/>
              <w:bottom w:type="dxa" w:w="60"/>
              <w:right w:type="dxa" w:w="100"/>
            </w:tcMar>
          </w:tcPr>
          <w:p>
            <w:pPr>
              <w:keepNext/>
              <w:keepLines/>
            </w:pPr>
            <w:r>
              <w:rPr>
                <w:rFonts w:ascii="Calibri" w:cs="Calibri" w:eastAsia="Calibri" w:hAnsi="Calibri"/>
                <w:b/>
                <w:bCs/>
                <w:color w:val="FFFFFF"/>
                <w:sz w:val="19"/>
                <w:szCs w:val="19"/>
              </w:rPr>
              <w:t xml:space="preserve">Application dans ce travail</w:t>
            </w:r>
          </w:p>
        </w:tc>
      </w:tr>
      <w:tr>
        <w:trPr>
          <w:cantSplit/>
        </w:trPr>
        <w:tc>
          <w:tcPr>
            <w:tcW w:type="dxa" w:w="28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keepLines/>
            </w:pPr>
            <w:r>
              <w:rPr>
                <w:rFonts w:ascii="Calibri" w:cs="Calibri" w:eastAsia="Calibri" w:hAnsi="Calibri"/>
                <w:b w:val="false"/>
                <w:bCs w:val="false"/>
                <w:color w:val="000000"/>
                <w:sz w:val="19"/>
                <w:szCs w:val="19"/>
              </w:rPr>
              <w:t xml:space="preserve">✅ Gouvernance et pilotage</w:t>
            </w:r>
          </w:p>
        </w:tc>
        <w:tc>
          <w:tcPr>
            <w:tcW w:type="dxa" w:w="68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keepLines/>
            </w:pPr>
            <w:r>
              <w:rPr>
                <w:rFonts w:ascii="Calibri" w:cs="Calibri" w:eastAsia="Calibri" w:hAnsi="Calibri"/>
                <w:b w:val="false"/>
                <w:bCs w:val="false"/>
                <w:color w:val="000000"/>
                <w:sz w:val="19"/>
                <w:szCs w:val="19"/>
              </w:rPr>
              <w:t xml:space="preserve">Choix du moteur par machine, consigné au journal (moteur, version) ; SI-09 (Grok) et SI-10 (Gemini) inscrits au registre G.5 avec fiches fournisseurs F-10 et F-11 à établir avant tout usage avec des personnes participantes ; publication soumise à votre accord.</w:t>
            </w:r>
          </w:p>
        </w:tc>
      </w:tr>
      <w:tr>
        <w:trPr>
          <w:cantSplit/>
        </w:trPr>
        <w:tc>
          <w:tcPr>
            <w:tcW w:type="dxa" w:w="28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keepLines/>
            </w:pPr>
            <w:r>
              <w:rPr>
                <w:rFonts w:ascii="Calibri" w:cs="Calibri" w:eastAsia="Calibri" w:hAnsi="Calibri"/>
                <w:b w:val="false"/>
                <w:bCs w:val="false"/>
                <w:color w:val="000000"/>
                <w:sz w:val="19"/>
                <w:szCs w:val="19"/>
              </w:rPr>
              <w:t xml:space="preserve">✅ Transparence et documentation</w:t>
            </w:r>
          </w:p>
        </w:tc>
        <w:tc>
          <w:tcPr>
            <w:tcW w:type="dxa" w:w="68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keepLines/>
            </w:pPr>
            <w:r>
              <w:rPr>
                <w:rFonts w:ascii="Calibri" w:cs="Calibri" w:eastAsia="Calibri" w:hAnsi="Calibri"/>
                <w:b w:val="false"/>
                <w:bCs w:val="false"/>
                <w:color w:val="000000"/>
                <w:sz w:val="19"/>
                <w:szCs w:val="19"/>
              </w:rPr>
              <w:t xml:space="preserve">Sources citées (MLA 9e éd.), dont une source secondaire signalée comme telle ; inférences marquées ; paramètres demandés et appliqués consignés à chaque génération (A-08), écarts compris.</w:t>
            </w:r>
          </w:p>
        </w:tc>
      </w:tr>
      <w:tr>
        <w:trPr>
          <w:cantSplit/>
        </w:trPr>
        <w:tc>
          <w:tcPr>
            <w:tcW w:type="dxa" w:w="28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keepLines/>
            </w:pPr>
            <w:r>
              <w:rPr>
                <w:rFonts w:ascii="Calibri" w:cs="Calibri" w:eastAsia="Calibri" w:hAnsi="Calibri"/>
                <w:b w:val="false"/>
                <w:bCs w:val="false"/>
                <w:color w:val="000000"/>
                <w:sz w:val="19"/>
                <w:szCs w:val="19"/>
              </w:rPr>
              <w:t xml:space="preserve">✅ Gestion des risques</w:t>
            </w:r>
          </w:p>
        </w:tc>
        <w:tc>
          <w:tcPr>
            <w:tcW w:type="dxa" w:w="68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keepLines/>
            </w:pPr>
            <w:r>
              <w:rPr>
                <w:rFonts w:ascii="Calibri" w:cs="Calibri" w:eastAsia="Calibri" w:hAnsi="Calibri"/>
                <w:b w:val="false"/>
                <w:bCs w:val="false"/>
                <w:color w:val="000000"/>
                <w:sz w:val="19"/>
                <w:szCs w:val="19"/>
              </w:rPr>
              <w:t xml:space="preserve">Aiguillage D03 avant tout choix ; vocabulaire fermé revalidé par le pont ; validation humaine de chaque mouvement ; arrêt traité par la page ; LM Studio en Wi-Fi limité aux adresses privées et désactivé par défaut.</w:t>
            </w:r>
          </w:p>
        </w:tc>
      </w:tr>
      <w:tr>
        <w:trPr>
          <w:cantSplit/>
        </w:trPr>
        <w:tc>
          <w:tcPr>
            <w:tcW w:type="dxa" w:w="28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keepLines/>
            </w:pPr>
            <w:r>
              <w:rPr>
                <w:rFonts w:ascii="Calibri" w:cs="Calibri" w:eastAsia="Calibri" w:hAnsi="Calibri"/>
                <w:b w:val="false"/>
                <w:bCs w:val="false"/>
                <w:color w:val="000000"/>
                <w:sz w:val="19"/>
                <w:szCs w:val="19"/>
              </w:rPr>
              <w:t xml:space="preserve">✅ Responsabilité et imputabilité</w:t>
            </w:r>
          </w:p>
        </w:tc>
        <w:tc>
          <w:tcPr>
            <w:tcW w:type="dxa" w:w="68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keepLines/>
            </w:pPr>
            <w:r>
              <w:rPr>
                <w:rFonts w:ascii="Calibri" w:cs="Calibri" w:eastAsia="Calibri" w:hAnsi="Calibri"/>
                <w:b w:val="false"/>
                <w:bCs w:val="false"/>
                <w:color w:val="000000"/>
                <w:sz w:val="19"/>
                <w:szCs w:val="19"/>
              </w:rPr>
              <w:t xml:space="preserve">Chaque échange laisse une trace (machine, moteur, longueurs, rejets, erreurs) ; 13 tests automatisés dédiés ; suite complète au vert.</w:t>
            </w:r>
          </w:p>
        </w:tc>
      </w:tr>
      <w:tr>
        <w:trPr>
          <w:cantSplit/>
        </w:trPr>
        <w:tc>
          <w:tcPr>
            <w:tcW w:type="dxa" w:w="28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keepLines/>
            </w:pPr>
            <w:r>
              <w:rPr>
                <w:rFonts w:ascii="Calibri" w:cs="Calibri" w:eastAsia="Calibri" w:hAnsi="Calibri"/>
                <w:b w:val="false"/>
                <w:bCs w:val="false"/>
                <w:color w:val="000000"/>
                <w:sz w:val="19"/>
                <w:szCs w:val="19"/>
              </w:rPr>
              <w:t xml:space="preserve">✅ Éthique et parties prenantes</w:t>
            </w:r>
          </w:p>
        </w:tc>
        <w:tc>
          <w:tcPr>
            <w:tcW w:type="dxa" w:w="68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keepLines/>
            </w:pPr>
            <w:r>
              <w:rPr>
                <w:rFonts w:ascii="Calibri" w:cs="Calibri" w:eastAsia="Calibri" w:hAnsi="Calibri"/>
                <w:b w:val="false"/>
                <w:bCs w:val="false"/>
                <w:color w:val="000000"/>
                <w:sz w:val="19"/>
                <w:szCs w:val="19"/>
              </w:rPr>
              <w:t xml:space="preserve">La machine se dit pilotée par un modèle d'IA ; mémoire courte effaçable ; texte des échanges jamais journalisé (minimisation) ; niveau gratuit de l'API Gemini proscrit ; voix de synthèse fictives.</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8"/>
        <w:szCs w:val="18"/>
      </w:rPr>
      <w:t xml:space="preserve">Dialogue parlé et moteurs d'IA — ROBO-SCÈNE v1.0 · page </w:t>
    </w:r>
    <w:r>
      <w:rPr>
        <w:rFonts w:ascii="Calibri" w:cs="Calibri" w:eastAsia="Calibri" w:hAnsi="Calibri"/>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00"/>
      </w:pPr>
    </w:lvl>
  </w:abstractNum>
  <w:abstractNum w:abstractNumId="4" w15:restartNumberingAfterBreak="0">
    <w:multiLevelType w:val="hybridMultilevel"/>
    <w:lvl w:ilvl="0" w:tentative="1">
      <w:start w:val="1"/>
      <w:numFmt w:val="decimal"/>
      <w:lvlText w:val="%1."/>
      <w:lvlJc w:val="left"/>
      <w:pPr>
        <w:ind w:left="540" w:hanging="300"/>
      </w:pPr>
    </w:lvl>
  </w:abstractNum>
  <w:abstractNum w:abstractNumId="5"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sz w:val="30"/>
      <w:szCs w:val="30"/>
    </w:rPr>
  </w:style>
  <w:style w:type="paragraph" w:styleId="Heading2">
    <w:name w:val="Heading 2"/>
    <w:basedOn w:val="Normal"/>
    <w:next w:val="Normal"/>
    <w:qFormat/>
    <w:pPr>
      <w:outlineLvl w:val="1"/>
    </w:pPr>
    <w:rPr>
      <w:rFonts w:ascii="Calibri" w:cs="Calibri" w:eastAsia="Calibri" w:hAnsi="Calibri"/>
      <w:b/>
      <w:bCs/>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du dialogue parlé et des moteurs d'IA — ROBO-SCÈNE</dc:title>
  <dc:creator>Sylvain Gagné, Ph. D.</dc:creator>
  <cp:lastModifiedBy>Un-named</cp:lastModifiedBy>
  <cp:revision>1</cp:revision>
  <dcterms:created xsi:type="dcterms:W3CDTF">2026-10-20T21:25:29.560Z</dcterms:created>
  <dcterms:modified xsi:type="dcterms:W3CDTF">2026-10-20T21:25:29.561Z</dcterms:modified>
</cp:coreProperties>
</file>

<file path=docProps/custom.xml><?xml version="1.0" encoding="utf-8"?>
<Properties xmlns="http://schemas.openxmlformats.org/officeDocument/2006/custom-properties" xmlns:vt="http://schemas.openxmlformats.org/officeDocument/2006/docPropsVTypes"/>
</file>